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42DF8">
      <w:pPr>
        <w:spacing w:after="156" w:afterLines="50" w:line="600" w:lineRule="exact"/>
        <w:jc w:val="center"/>
        <w:rPr>
          <w:rFonts w:hint="eastAsia" w:ascii="方正小标宋简体" w:hAnsi="宋体" w:eastAsia="方正小标宋简体" w:cs="方正小标宋简体"/>
          <w:sz w:val="44"/>
          <w:szCs w:val="44"/>
          <w:lang w:val="en"/>
        </w:rPr>
      </w:pPr>
      <w:r>
        <w:pict>
          <v:shape id="AutoShape 2" o:spid="_x0000_s2050" o:spt="136" type="#_x0000_t136" style="position:absolute;left:0pt;margin-left:6.6pt;margin-top:-4.4pt;height:62.15pt;width:406.45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共青团广州软件学院委员会" style="font-family:方正小标宋简体;font-size:96pt;v-text-align:center;"/>
          </v:shape>
        </w:pict>
      </w:r>
    </w:p>
    <w:p w14:paraId="21E3975A">
      <w:pPr>
        <w:spacing w:after="156" w:afterLines="50" w:line="600" w:lineRule="exact"/>
        <w:jc w:val="center"/>
        <w:rPr>
          <w:rFonts w:hint="eastAsia" w:ascii="方正小标宋简体" w:hAnsi="宋体" w:eastAsia="方正小标宋简体" w:cs="方正小标宋简体"/>
          <w:sz w:val="44"/>
          <w:szCs w:val="44"/>
          <w:lang w:val="en"/>
        </w:rPr>
      </w:pPr>
    </w:p>
    <w:p w14:paraId="776B97C1">
      <w:pPr>
        <w:spacing w:line="400" w:lineRule="exact"/>
        <w:jc w:val="center"/>
        <w:rPr>
          <w:rFonts w:hint="eastAsia" w:ascii="楷体_GB2312" w:hAnsi="楷体_GB2312" w:eastAsia="楷体_GB2312" w:cs="楷体_GB2312"/>
          <w:sz w:val="32"/>
        </w:rPr>
      </w:pPr>
      <w:r>
        <w:rPr>
          <w:rFonts w:hint="eastAsia" w:ascii="方正仿宋_GBK" w:hAnsi="方正仿宋_GBK" w:eastAsia="方正仿宋_GBK" w:cs="方正仿宋_GBK"/>
          <w:sz w:val="32"/>
          <w:lang w:eastAsia="zh-CN"/>
        </w:rPr>
        <w:t>广软团字</w:t>
      </w:r>
      <w:r>
        <w:rPr>
          <w:rFonts w:hint="eastAsia" w:ascii="方正仿宋_GBK" w:hAnsi="方正仿宋_GBK" w:eastAsia="方正仿宋_GBK" w:cs="方正仿宋_GBK"/>
          <w:sz w:val="32"/>
        </w:rPr>
        <w:t>〔202</w:t>
      </w:r>
      <w:r>
        <w:rPr>
          <w:rFonts w:hint="eastAsia" w:ascii="方正仿宋_GBK" w:hAnsi="方正仿宋_GBK" w:eastAsia="方正仿宋_GBK" w:cs="方正仿宋_GBK"/>
          <w:sz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lang w:val="en-US" w:eastAsia="zh-CN"/>
        </w:rPr>
        <w:t>35</w:t>
      </w:r>
      <w:r>
        <w:rPr>
          <w:rFonts w:hint="eastAsia" w:ascii="方正仿宋_GBK" w:hAnsi="方正仿宋_GBK" w:eastAsia="方正仿宋_GBK" w:cs="方正仿宋_GBK"/>
          <w:sz w:val="32"/>
        </w:rPr>
        <w:t>号</w:t>
      </w:r>
    </w:p>
    <w:p w14:paraId="284A494E">
      <w:pPr>
        <w:spacing w:after="156" w:afterLines="50" w:line="600" w:lineRule="exact"/>
        <w:jc w:val="center"/>
        <w:rPr>
          <w:rFonts w:hint="eastAsia" w:ascii="方正小标宋简体" w:hAnsi="宋体" w:eastAsia="方正小标宋简体" w:cs="方正小标宋简体"/>
          <w:sz w:val="44"/>
          <w:szCs w:val="44"/>
          <w:lang w:val="e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277495</wp:posOffset>
                </wp:positionV>
                <wp:extent cx="5509895" cy="952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09895" cy="9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2pt;margin-top:21.85pt;height:0.75pt;width:433.85pt;z-index:251660288;mso-width-relative:page;mso-height-relative:page;" filled="f" stroked="t" coordsize="21600,21600" o:gfxdata="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9pUDNUAAAAIAQAADwAAAAAAAAABACAAAAAiAAAAZHJzL2Rvd25yZXYueG1sUEsB&#10;AhQAFAAAAAgAh07iQJSc3mv4AQAA5QMAAA4AAAAAAAAAAQAgAAAAJAEAAGRycy9lMm9Eb2MueG1s&#10;UEsFBgAAAAAGAAYAWQEAAI4FAAAAAA==&#10;">
                <v:fill on="f" focussize="0,0"/>
                <v:stroke weight="0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347FE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640" w:lineRule="exact"/>
        <w:jc w:val="center"/>
        <w:textAlignment w:val="auto"/>
        <w:rPr>
          <w:rFonts w:hint="eastAsia" w:ascii="方正小标宋简体" w:hAnsi="宋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  <w:lang w:val="en" w:eastAsia="zh-CN"/>
        </w:rPr>
        <w:t>关于做好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en" w:eastAsia="zh-CN"/>
        </w:rPr>
        <w:t>广州软件学院暑期文化科技卫生“三下乡”社会实践活动暨广东青年</w:t>
      </w:r>
    </w:p>
    <w:p w14:paraId="753CC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640" w:lineRule="exact"/>
        <w:jc w:val="center"/>
        <w:textAlignment w:val="auto"/>
        <w:rPr>
          <w:rFonts w:hint="eastAsia" w:ascii="方正小标宋简体" w:hAnsi="宋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  <w:lang w:val="en" w:eastAsia="zh-CN"/>
        </w:rPr>
        <w:t>大学生“百千万工程”突击队行动</w:t>
      </w:r>
    </w:p>
    <w:p w14:paraId="5DFB0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640" w:lineRule="exact"/>
        <w:jc w:val="center"/>
        <w:textAlignment w:val="auto"/>
        <w:rPr>
          <w:rFonts w:hint="eastAsia" w:ascii="方正小标宋简体" w:hAnsi="宋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  <w:lang w:val="en-US" w:eastAsia="zh-CN"/>
        </w:rPr>
        <w:t>总结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en" w:eastAsia="zh-CN"/>
        </w:rPr>
        <w:t>工作的通知</w:t>
      </w:r>
    </w:p>
    <w:p w14:paraId="0363BDF1">
      <w:pPr>
        <w:spacing w:before="312" w:beforeLines="100" w:line="360" w:lineRule="auto"/>
        <w:jc w:val="left"/>
        <w:rPr>
          <w:rFonts w:hint="eastAsia"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>各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院（系）团组织</w:t>
      </w:r>
      <w:r>
        <w:rPr>
          <w:rFonts w:hint="eastAsia" w:ascii="方正仿宋_GBK" w:hAnsi="仿宋" w:eastAsia="方正仿宋_GBK" w:cs="仿宋"/>
          <w:sz w:val="32"/>
          <w:szCs w:val="32"/>
        </w:rPr>
        <w:t>：</w:t>
      </w:r>
    </w:p>
    <w:p w14:paraId="247A6F17"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为深入学习贯彻习近平总书记关于青年工作的重要思想、对广东系列重要讲话重要指示精神，落实省委“</w:t>
      </w:r>
      <w:r>
        <w:rPr>
          <w:rFonts w:hint="default" w:ascii="方正仿宋_GBK" w:hAnsi="方正仿宋_GBK" w:eastAsia="方正仿宋_GBK" w:cs="方正仿宋_GBK"/>
          <w:sz w:val="32"/>
          <w:szCs w:val="20"/>
          <w:lang w:val="en-US" w:eastAsia="zh-CN"/>
        </w:rPr>
        <w:t>1310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”具体部署，暑期期间，我校学子把课堂所学和县镇村高质量发展紧密结合起来，在乡村振兴的大舞台上建功立业。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为深化活动成效，拓宽社会影响力，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学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校团委决定对2024年广州软件学院暑期文化科技卫生“三下乡”社会实践活动暨广东青年大学生“百千万工程”突击队行动中表现突出的集体和个人进行评选表彰。现将有关事项通知如下：</w:t>
      </w:r>
    </w:p>
    <w:p w14:paraId="0804831A">
      <w:pPr>
        <w:numPr>
          <w:ilvl w:val="0"/>
          <w:numId w:val="1"/>
        </w:numPr>
        <w:spacing w:line="360" w:lineRule="auto"/>
        <w:rPr>
          <w:rFonts w:ascii="Times New Roman" w:hAnsi="Times New Roman" w:eastAsia="方正黑体_GBK" w:cs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申报时间</w:t>
      </w:r>
    </w:p>
    <w:p w14:paraId="55D0C6F2">
      <w:pPr>
        <w:spacing w:line="58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</w:rPr>
        <w:t>2024年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日至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月1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8日</w:t>
      </w:r>
    </w:p>
    <w:p w14:paraId="42265822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奖</w:t>
      </w:r>
      <w:r>
        <w:rPr>
          <w:rFonts w:hint="eastAsia" w:ascii="黑体" w:hAnsi="黑体" w:eastAsia="黑体" w:cs="仿宋"/>
          <w:sz w:val="32"/>
          <w:szCs w:val="32"/>
        </w:rPr>
        <w:t>项类别</w:t>
      </w:r>
    </w:p>
    <w:p w14:paraId="46682CE1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20"/>
          <w:lang w:val="en-US" w:eastAsia="zh-CN" w:bidi="ar-SA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先进单位</w:t>
      </w:r>
    </w:p>
    <w:p w14:paraId="47A5B81E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20"/>
          <w:lang w:val="en-US" w:eastAsia="zh-CN" w:bidi="ar-SA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优秀项目</w:t>
      </w:r>
    </w:p>
    <w:p w14:paraId="1F9D996F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20"/>
          <w:lang w:val="en-US" w:eastAsia="zh-CN" w:bidi="ar-SA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最受欢迎突击队</w:t>
      </w:r>
    </w:p>
    <w:p w14:paraId="23E63861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20"/>
          <w:lang w:val="en-US" w:eastAsia="zh-CN" w:bidi="ar-SA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优秀指导老师</w:t>
      </w:r>
    </w:p>
    <w:p w14:paraId="0116342B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20"/>
          <w:lang w:val="en-US" w:eastAsia="zh-CN" w:bidi="ar-SA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优秀个人</w:t>
      </w:r>
    </w:p>
    <w:p w14:paraId="760F198D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20"/>
          <w:lang w:val="en-US" w:eastAsia="zh-CN" w:bidi="ar-SA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优秀调研报告</w:t>
      </w:r>
    </w:p>
    <w:p w14:paraId="7AB120B4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黑体" w:hAnsi="黑体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评选标准及方式</w:t>
      </w:r>
    </w:p>
    <w:p w14:paraId="540FEB8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  <w:t>先进单位</w:t>
      </w:r>
    </w:p>
    <w:p w14:paraId="348A2D2C">
      <w:pPr>
        <w:numPr>
          <w:ilvl w:val="0"/>
          <w:numId w:val="0"/>
        </w:numPr>
        <w:spacing w:line="580" w:lineRule="exact"/>
        <w:ind w:firstLine="620" w:firstLineChars="200"/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  <w:r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2"/>
          <w:sz w:val="31"/>
          <w:szCs w:val="31"/>
          <w:shd w:val="clear" w:fill="FFFFFF"/>
          <w:lang w:val="en-US" w:eastAsia="zh-CN" w:bidi="ar-SA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评选对象：</w:t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主要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面向</w:t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领导重视、组织指导、工作配合、团队情况、参与人数、活动特色、活动成效、安全情况、社会影响等方面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突出的组织单位</w:t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进行评选。</w:t>
      </w:r>
    </w:p>
    <w:p w14:paraId="510E5339">
      <w:pPr>
        <w:numPr>
          <w:ilvl w:val="0"/>
          <w:numId w:val="0"/>
        </w:numPr>
        <w:spacing w:line="580" w:lineRule="exact"/>
        <w:ind w:firstLine="620" w:firstLineChars="200"/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2"/>
          <w:sz w:val="31"/>
          <w:szCs w:val="31"/>
          <w:shd w:val="clear" w:fill="FFFFFF"/>
          <w:lang w:val="en-US" w:eastAsia="zh-CN" w:bidi="ar-SA"/>
        </w:rPr>
        <w:t>2.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评选方式：各院（系）</w:t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自主申报，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学校团委审核材料，组织评审，最终</w:t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评选出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个先进单位。</w:t>
      </w:r>
    </w:p>
    <w:p w14:paraId="5FF791FE">
      <w:pPr>
        <w:numPr>
          <w:ilvl w:val="0"/>
          <w:numId w:val="0"/>
        </w:numPr>
        <w:spacing w:line="580" w:lineRule="exact"/>
        <w:ind w:firstLine="620" w:firstLineChars="200"/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2"/>
          <w:sz w:val="31"/>
          <w:szCs w:val="31"/>
          <w:shd w:val="clear" w:fill="FFFFFF"/>
          <w:lang w:val="en-US" w:eastAsia="zh-CN" w:bidi="ar-SA"/>
        </w:rPr>
        <w:t>3.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材料提交：《2024年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广州软件学院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社会实践先进单位申报表》（附件1）</w:t>
      </w:r>
    </w:p>
    <w:p w14:paraId="2C2012B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  <w:t>优秀项目</w:t>
      </w:r>
    </w:p>
    <w:p w14:paraId="6EA5D580">
      <w:pPr>
        <w:numPr>
          <w:ilvl w:val="0"/>
          <w:numId w:val="0"/>
        </w:numPr>
        <w:spacing w:line="580" w:lineRule="exact"/>
        <w:ind w:firstLine="620" w:firstLineChars="200"/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2"/>
          <w:sz w:val="31"/>
          <w:szCs w:val="31"/>
          <w:shd w:val="clear" w:fill="FFFFFF"/>
          <w:lang w:val="en-US" w:eastAsia="zh-CN" w:bidi="ar-SA"/>
        </w:rPr>
        <w:t>1.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评选对象：主要面向于机制完善、特色鲜明聚焦十大特色领域，在助力“百县千镇万村高质量发展工程”方面取得突出成果的项目。</w:t>
      </w:r>
    </w:p>
    <w:p w14:paraId="00E5448B">
      <w:pPr>
        <w:numPr>
          <w:ilvl w:val="0"/>
          <w:numId w:val="0"/>
        </w:numPr>
        <w:spacing w:line="580" w:lineRule="exact"/>
        <w:ind w:firstLine="62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评选方式：各院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（系）部自主申报，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学校团委审核材料，组织评审，确定获奖名单，具体名额详见《2024年广州软件学院“百千万工程”突击队行动奖项申报名额一览表》（附件7）。</w:t>
      </w:r>
    </w:p>
    <w:p w14:paraId="77DC6EFF">
      <w:pPr>
        <w:numPr>
          <w:ilvl w:val="0"/>
          <w:numId w:val="0"/>
        </w:numPr>
        <w:spacing w:line="580" w:lineRule="exact"/>
        <w:ind w:firstLine="620" w:firstLineChars="200"/>
        <w:rPr>
          <w:rFonts w:hint="default"/>
          <w:lang w:val="en-US" w:eastAsia="zh-CN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kern w:val="2"/>
          <w:sz w:val="31"/>
          <w:szCs w:val="31"/>
          <w:shd w:val="clear" w:fill="FFFFFF"/>
          <w:lang w:val="en-US" w:eastAsia="zh-CN" w:bidi="ar-SA"/>
        </w:rPr>
        <w:t>3.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材料提交：《2024年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广州软件学院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“百千万工程”优秀项目申报表》（附件2）</w:t>
      </w:r>
    </w:p>
    <w:p w14:paraId="6D6A4CA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  <w:t>最受欢迎突击队</w:t>
      </w:r>
    </w:p>
    <w:p w14:paraId="612A8C1A">
      <w:pPr>
        <w:numPr>
          <w:ilvl w:val="0"/>
          <w:numId w:val="0"/>
        </w:numPr>
        <w:spacing w:line="580" w:lineRule="exact"/>
        <w:ind w:firstLine="62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1.评选对象：主要面向于在“南方+plus”客户端中参与投票的15支突击队。</w:t>
      </w:r>
    </w:p>
    <w:p w14:paraId="4DF47F6A">
      <w:pPr>
        <w:numPr>
          <w:ilvl w:val="0"/>
          <w:numId w:val="0"/>
        </w:numPr>
        <w:spacing w:line="580" w:lineRule="exact"/>
        <w:ind w:firstLine="62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2.评选方式：依据新闻链接中的投票数量进行评定，最终评选出3支最受欢迎突击队。</w:t>
      </w:r>
    </w:p>
    <w:p w14:paraId="4588000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  <w:t>优秀指导老师</w:t>
      </w:r>
    </w:p>
    <w:p w14:paraId="011C590E">
      <w:pPr>
        <w:numPr>
          <w:ilvl w:val="0"/>
          <w:numId w:val="0"/>
        </w:numPr>
        <w:spacing w:line="580" w:lineRule="exact"/>
        <w:ind w:firstLine="62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1.评选对象：主要面向于在开展社会实践活动中贯彻活动要求、充分发挥示范带头作用、积极作为、事迹突出、群众认可的实践团队指导老师、“院（系）‘百千万工程’突击队工作主要负责人”。</w:t>
      </w:r>
    </w:p>
    <w:p w14:paraId="6D5E0D64">
      <w:pPr>
        <w:numPr>
          <w:ilvl w:val="0"/>
          <w:numId w:val="0"/>
        </w:numPr>
        <w:spacing w:line="580" w:lineRule="exact"/>
        <w:ind w:firstLine="62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2.评选方式：各院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（系）部自主申报，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学校团委审核材料，组织评审，确定获奖名单，具体名额详见《2024年广州软件学院“百千万工程”突击队行动奖项申报名额一览表》（附件7）。</w:t>
      </w:r>
    </w:p>
    <w:p w14:paraId="52F1F9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3.材料提交：《2024年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广州软件学院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“百千万工程”突击队行动优秀指导老师申报表》（附件3）。</w:t>
      </w:r>
    </w:p>
    <w:p w14:paraId="00A0FF2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  <w:t>优秀个人</w:t>
      </w:r>
    </w:p>
    <w:p w14:paraId="0622CB1B">
      <w:pPr>
        <w:numPr>
          <w:ilvl w:val="0"/>
          <w:numId w:val="0"/>
        </w:numPr>
        <w:spacing w:line="580" w:lineRule="exact"/>
        <w:ind w:firstLine="62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1.评选对象：主要面向于在开展社会实践活动中贯彻活动要求、充分发挥示范带头作用、积极作为、事迹突出、群众认可的“团队队长”“团队成员”“院（系）‘百千万工程’突击队工作主要负责人”。</w:t>
      </w:r>
    </w:p>
    <w:p w14:paraId="6738B5BB">
      <w:pPr>
        <w:numPr>
          <w:ilvl w:val="0"/>
          <w:numId w:val="0"/>
        </w:numPr>
        <w:spacing w:line="580" w:lineRule="exact"/>
        <w:ind w:firstLine="62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评选方式：各院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（系）部自主申报，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学校团委审核材料，组织评审，确定获奖名单，具体名额详见《2024年广州软件学院“百千万工程”突击队行动奖项申报名额一览表》（附件7）</w:t>
      </w:r>
    </w:p>
    <w:p w14:paraId="4D169A46">
      <w:pPr>
        <w:numPr>
          <w:ilvl w:val="0"/>
          <w:numId w:val="0"/>
        </w:numPr>
        <w:spacing w:line="580" w:lineRule="exact"/>
        <w:ind w:firstLine="62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3.材料提交：《2024年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广州软件学院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“百千万工程”突击队行动优秀个人申报表》（附件4）</w:t>
      </w:r>
    </w:p>
    <w:p w14:paraId="6ED18DE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highlight w:val="none"/>
          <w:vertAlign w:val="baseline"/>
          <w:lang w:val="en-US" w:eastAsia="zh-CN"/>
        </w:rPr>
        <w:t>优秀调研报告</w:t>
      </w:r>
    </w:p>
    <w:p w14:paraId="01CBE926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</w:rPr>
        <w:t>1.评选对象：基于2024年社会实践活动而</w:t>
      </w:r>
      <w:r>
        <w:rPr>
          <w:rFonts w:hint="eastAsia" w:ascii="方正仿宋_GBK" w:hAnsi="方正仿宋_GBK" w:eastAsia="方正仿宋_GBK" w:cs="方正仿宋_GBK"/>
          <w:sz w:val="32"/>
          <w:szCs w:val="20"/>
          <w:lang w:eastAsia="zh-CN"/>
        </w:rPr>
        <w:t>撰写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的调研报告。</w:t>
      </w:r>
    </w:p>
    <w:p w14:paraId="06BC0C62"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评选方式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：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各院（系）部自主申报，各单位最多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可推荐2篇。</w:t>
      </w:r>
    </w:p>
    <w:p w14:paraId="7733BA35"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材料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要求：</w:t>
      </w:r>
    </w:p>
    <w:p w14:paraId="167B7357">
      <w:pPr>
        <w:spacing w:line="58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</w:rPr>
        <w:t>（1）字数不低于3000字</w:t>
      </w:r>
      <w:r>
        <w:rPr>
          <w:rFonts w:hint="eastAsia" w:ascii="方正仿宋_GBK" w:hAnsi="方正仿宋_GBK" w:eastAsia="方正仿宋_GBK" w:cs="方正仿宋_GBK"/>
          <w:sz w:val="32"/>
          <w:szCs w:val="2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查重率不高于20%。</w:t>
      </w:r>
    </w:p>
    <w:p w14:paraId="1904911F"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</w:rPr>
        <w:t>（2）社会实践报告是进行社会实践后需要完成的报告，是对社会实践活动的一个总结报告；</w:t>
      </w:r>
    </w:p>
    <w:p w14:paraId="5F4014CC"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</w:rPr>
        <w:t>（3）一份完整的实践报告应由以下部分组成：报告题目、学校及作者名称、摘要、正文、参考文献等部分；</w:t>
      </w:r>
    </w:p>
    <w:p w14:paraId="71A1BB4A"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材料提交：《2024年广州软件学院社会实践优秀调研报告申报表》（附件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）。</w:t>
      </w:r>
    </w:p>
    <w:p w14:paraId="4258994A"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、奖项申报方式</w:t>
      </w:r>
    </w:p>
    <w:p w14:paraId="1934EE75">
      <w:pPr>
        <w:spacing w:line="580" w:lineRule="exact"/>
        <w:ind w:firstLine="640" w:firstLineChars="200"/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</w:rPr>
        <w:t>以上所有奖项的申报都需按照申报模板的要求填写、提交所需的材料，各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院（系）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实践部负责人需汇总好申报材料并在规定日期内（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日17：00之前）发送至校青年志愿者行动指导中心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邮箱zx18814122770@126.com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。逾期提交或格式错误的材料，将不予以申报。</w:t>
      </w:r>
    </w:p>
    <w:p w14:paraId="5252D0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  <w:t>附件：</w:t>
      </w:r>
    </w:p>
    <w:p w14:paraId="5E0E951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  <w:t>2024年广州软件学院社会实践优秀单位申报表</w:t>
      </w:r>
    </w:p>
    <w:p w14:paraId="252592E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  <w:t>2024年广州软件学院“百千万工程”突击队行动优秀项目申报表</w:t>
      </w:r>
    </w:p>
    <w:p w14:paraId="74B2787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  <w:t>2024年广州软件学院“百千万工程”突击队行动优秀指导老师申报表</w:t>
      </w:r>
    </w:p>
    <w:p w14:paraId="776AF3B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  <w:t>2024年广州软件学院“百千万工程”突击队行动优秀个人申报表</w:t>
      </w:r>
    </w:p>
    <w:p w14:paraId="253C5BD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  <w:t>2024年广州软件学院社会实践优秀调研报告申报表</w:t>
      </w:r>
    </w:p>
    <w:p w14:paraId="426ADB1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  <w:t>2024年广州软件学院“百千万工程”突击队行动优秀典型推报汇总表</w:t>
      </w:r>
    </w:p>
    <w:p w14:paraId="01E67B8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  <w:t>2024年广州软件学院“百千万工程”突击队行动奖项申报名额一览表</w:t>
      </w:r>
    </w:p>
    <w:p w14:paraId="42F86C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Times New Roman" w:hAnsi="Times New Roman" w:eastAsia="方正仿宋_GBK" w:cs="方正仿宋_GBK"/>
          <w:color w:val="auto"/>
          <w:sz w:val="32"/>
          <w:szCs w:val="32"/>
          <w:highlight w:val="none"/>
          <w:lang w:val="en-US" w:eastAsia="zh-CN"/>
        </w:rPr>
      </w:pPr>
    </w:p>
    <w:p w14:paraId="508F3FC1"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联系人及联系方式：</w:t>
      </w:r>
    </w:p>
    <w:p w14:paraId="5BB18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5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联 系 人：史可轩、彭欢欢、李垚懿</w:t>
      </w:r>
    </w:p>
    <w:p w14:paraId="7084F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5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联系电话：020—87818099、17620975475、15333541727</w:t>
      </w:r>
    </w:p>
    <w:p w14:paraId="27A4D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5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工作邮箱：zx18814122770@126.com</w:t>
      </w:r>
    </w:p>
    <w:p w14:paraId="09BE1593">
      <w:pPr>
        <w:spacing w:line="58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20"/>
          <w:lang w:val="en-US" w:eastAsia="zh-CN"/>
        </w:rPr>
      </w:pPr>
      <w:bookmarkStart w:id="0" w:name="_GoBack"/>
      <w:bookmarkEnd w:id="0"/>
    </w:p>
    <w:p w14:paraId="520DFCD6">
      <w:pPr>
        <w:spacing w:line="240" w:lineRule="auto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</w:rPr>
        <w:t>共青团广州软件学院委员会</w:t>
      </w:r>
    </w:p>
    <w:p w14:paraId="7DA97ABA">
      <w:pPr>
        <w:spacing w:line="58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 xml:space="preserve">                         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2024年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sz w:val="32"/>
          <w:szCs w:val="20"/>
        </w:rPr>
        <w:t>日</w:t>
      </w:r>
    </w:p>
    <w:p w14:paraId="5F0F0EBD">
      <w:pPr>
        <w:rPr>
          <w:rFonts w:ascii="方正仿宋_GBK" w:hAnsi="Times New Roman" w:eastAsia="方正仿宋_GBK" w:cs="方正仿宋_GBK"/>
          <w:sz w:val="32"/>
          <w:szCs w:val="32"/>
        </w:rPr>
      </w:pPr>
    </w:p>
    <w:sectPr>
      <w:pgSz w:w="11906" w:h="16838"/>
      <w:pgMar w:top="1191" w:right="1701" w:bottom="119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6B16EE"/>
    <w:multiLevelType w:val="singleLevel"/>
    <w:tmpl w:val="DE6B16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66ECF0"/>
    <w:multiLevelType w:val="singleLevel"/>
    <w:tmpl w:val="3266ECF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6EF95B42"/>
    <w:multiLevelType w:val="singleLevel"/>
    <w:tmpl w:val="6EF95B4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jMTA5NDg4ZDQ2ZGUxNTJhOWE4NTU1MjBiMGEzMTIifQ=="/>
  </w:docVars>
  <w:rsids>
    <w:rsidRoot w:val="00D52AF8"/>
    <w:rsid w:val="00001054"/>
    <w:rsid w:val="000035DD"/>
    <w:rsid w:val="00006B3C"/>
    <w:rsid w:val="00007790"/>
    <w:rsid w:val="000134FC"/>
    <w:rsid w:val="00042D8D"/>
    <w:rsid w:val="00046EBE"/>
    <w:rsid w:val="0005712A"/>
    <w:rsid w:val="0006027E"/>
    <w:rsid w:val="00064D54"/>
    <w:rsid w:val="00071F09"/>
    <w:rsid w:val="000967C4"/>
    <w:rsid w:val="000A11A5"/>
    <w:rsid w:val="000B3D08"/>
    <w:rsid w:val="000E1A88"/>
    <w:rsid w:val="000F4F86"/>
    <w:rsid w:val="00103B3E"/>
    <w:rsid w:val="00105479"/>
    <w:rsid w:val="00105874"/>
    <w:rsid w:val="001431D1"/>
    <w:rsid w:val="0014637E"/>
    <w:rsid w:val="00146BE1"/>
    <w:rsid w:val="0017129A"/>
    <w:rsid w:val="00173EFE"/>
    <w:rsid w:val="001903F3"/>
    <w:rsid w:val="001E13B0"/>
    <w:rsid w:val="001E1506"/>
    <w:rsid w:val="001E63CE"/>
    <w:rsid w:val="0022064C"/>
    <w:rsid w:val="0022070A"/>
    <w:rsid w:val="00222CCC"/>
    <w:rsid w:val="0023450F"/>
    <w:rsid w:val="002427C0"/>
    <w:rsid w:val="0026588D"/>
    <w:rsid w:val="00266448"/>
    <w:rsid w:val="0028517B"/>
    <w:rsid w:val="002B2153"/>
    <w:rsid w:val="002D6A77"/>
    <w:rsid w:val="002E3E66"/>
    <w:rsid w:val="002E6236"/>
    <w:rsid w:val="002F2104"/>
    <w:rsid w:val="0032452B"/>
    <w:rsid w:val="00330A92"/>
    <w:rsid w:val="00332A99"/>
    <w:rsid w:val="0033494D"/>
    <w:rsid w:val="00342E6D"/>
    <w:rsid w:val="00355AAB"/>
    <w:rsid w:val="00361036"/>
    <w:rsid w:val="0036713D"/>
    <w:rsid w:val="0037374A"/>
    <w:rsid w:val="00375BAA"/>
    <w:rsid w:val="003B27D1"/>
    <w:rsid w:val="003C5823"/>
    <w:rsid w:val="003D1223"/>
    <w:rsid w:val="0040312B"/>
    <w:rsid w:val="0040350C"/>
    <w:rsid w:val="004038D6"/>
    <w:rsid w:val="004064F7"/>
    <w:rsid w:val="004237D0"/>
    <w:rsid w:val="00437DEF"/>
    <w:rsid w:val="00441441"/>
    <w:rsid w:val="00451258"/>
    <w:rsid w:val="00452996"/>
    <w:rsid w:val="00480F2B"/>
    <w:rsid w:val="00493467"/>
    <w:rsid w:val="00496394"/>
    <w:rsid w:val="004F3735"/>
    <w:rsid w:val="00500760"/>
    <w:rsid w:val="00504E3E"/>
    <w:rsid w:val="00511205"/>
    <w:rsid w:val="005206AC"/>
    <w:rsid w:val="0052717A"/>
    <w:rsid w:val="00536FEA"/>
    <w:rsid w:val="005402B8"/>
    <w:rsid w:val="00546AD4"/>
    <w:rsid w:val="00556C58"/>
    <w:rsid w:val="00560C0E"/>
    <w:rsid w:val="00560D29"/>
    <w:rsid w:val="0056333A"/>
    <w:rsid w:val="0059039B"/>
    <w:rsid w:val="005947A9"/>
    <w:rsid w:val="005A19EA"/>
    <w:rsid w:val="005A4D08"/>
    <w:rsid w:val="005D65DA"/>
    <w:rsid w:val="005F2B18"/>
    <w:rsid w:val="00616E87"/>
    <w:rsid w:val="0063028A"/>
    <w:rsid w:val="0064087F"/>
    <w:rsid w:val="006442AE"/>
    <w:rsid w:val="006745CE"/>
    <w:rsid w:val="00674FE5"/>
    <w:rsid w:val="0068753D"/>
    <w:rsid w:val="00691D76"/>
    <w:rsid w:val="00693427"/>
    <w:rsid w:val="006975CD"/>
    <w:rsid w:val="006A3672"/>
    <w:rsid w:val="006A55DB"/>
    <w:rsid w:val="006D2FC9"/>
    <w:rsid w:val="006D662B"/>
    <w:rsid w:val="006D77BA"/>
    <w:rsid w:val="006E149F"/>
    <w:rsid w:val="006F65C5"/>
    <w:rsid w:val="00735858"/>
    <w:rsid w:val="0074681E"/>
    <w:rsid w:val="00752274"/>
    <w:rsid w:val="00756029"/>
    <w:rsid w:val="007730A8"/>
    <w:rsid w:val="00786C57"/>
    <w:rsid w:val="00792B61"/>
    <w:rsid w:val="007A7A8A"/>
    <w:rsid w:val="007C0D27"/>
    <w:rsid w:val="007C1A39"/>
    <w:rsid w:val="007D2ADE"/>
    <w:rsid w:val="007E1606"/>
    <w:rsid w:val="007E5B96"/>
    <w:rsid w:val="007E683E"/>
    <w:rsid w:val="00800C5C"/>
    <w:rsid w:val="00827522"/>
    <w:rsid w:val="00834949"/>
    <w:rsid w:val="00856849"/>
    <w:rsid w:val="0087108B"/>
    <w:rsid w:val="0088309C"/>
    <w:rsid w:val="008C0292"/>
    <w:rsid w:val="008C43EE"/>
    <w:rsid w:val="008E6D1D"/>
    <w:rsid w:val="00901E4D"/>
    <w:rsid w:val="0090378F"/>
    <w:rsid w:val="009471FC"/>
    <w:rsid w:val="00962056"/>
    <w:rsid w:val="00982E94"/>
    <w:rsid w:val="009A740D"/>
    <w:rsid w:val="009B6C9E"/>
    <w:rsid w:val="009C7FA8"/>
    <w:rsid w:val="00A077A1"/>
    <w:rsid w:val="00A14972"/>
    <w:rsid w:val="00A22CB8"/>
    <w:rsid w:val="00A56F01"/>
    <w:rsid w:val="00A6140B"/>
    <w:rsid w:val="00A84523"/>
    <w:rsid w:val="00AA43F4"/>
    <w:rsid w:val="00AB0383"/>
    <w:rsid w:val="00AC78A5"/>
    <w:rsid w:val="00AD4D14"/>
    <w:rsid w:val="00AF7A0B"/>
    <w:rsid w:val="00B00E62"/>
    <w:rsid w:val="00B264C7"/>
    <w:rsid w:val="00B415EF"/>
    <w:rsid w:val="00B63553"/>
    <w:rsid w:val="00B9519B"/>
    <w:rsid w:val="00B97EEE"/>
    <w:rsid w:val="00BA65C5"/>
    <w:rsid w:val="00BB4635"/>
    <w:rsid w:val="00BC15BF"/>
    <w:rsid w:val="00BD35DE"/>
    <w:rsid w:val="00BE06EB"/>
    <w:rsid w:val="00BE1451"/>
    <w:rsid w:val="00BF3AFC"/>
    <w:rsid w:val="00C12D8B"/>
    <w:rsid w:val="00C5581E"/>
    <w:rsid w:val="00C70116"/>
    <w:rsid w:val="00C710E6"/>
    <w:rsid w:val="00CB4683"/>
    <w:rsid w:val="00CD6B80"/>
    <w:rsid w:val="00CE2DAF"/>
    <w:rsid w:val="00CE2E3E"/>
    <w:rsid w:val="00CF555E"/>
    <w:rsid w:val="00D01617"/>
    <w:rsid w:val="00D10097"/>
    <w:rsid w:val="00D130EC"/>
    <w:rsid w:val="00D21C86"/>
    <w:rsid w:val="00D3288E"/>
    <w:rsid w:val="00D32B4B"/>
    <w:rsid w:val="00D52AF8"/>
    <w:rsid w:val="00D741D3"/>
    <w:rsid w:val="00DA050D"/>
    <w:rsid w:val="00DA244F"/>
    <w:rsid w:val="00DA31BB"/>
    <w:rsid w:val="00DC7B21"/>
    <w:rsid w:val="00DF7B47"/>
    <w:rsid w:val="00E06FE1"/>
    <w:rsid w:val="00E42AE6"/>
    <w:rsid w:val="00E47940"/>
    <w:rsid w:val="00EA58FA"/>
    <w:rsid w:val="00EA7764"/>
    <w:rsid w:val="00EB009B"/>
    <w:rsid w:val="00EB47B3"/>
    <w:rsid w:val="00EC56DD"/>
    <w:rsid w:val="00EC66CB"/>
    <w:rsid w:val="00ED6812"/>
    <w:rsid w:val="00EE2155"/>
    <w:rsid w:val="00EF2B1F"/>
    <w:rsid w:val="00F26F67"/>
    <w:rsid w:val="00F97440"/>
    <w:rsid w:val="00FB0CFD"/>
    <w:rsid w:val="00FB2650"/>
    <w:rsid w:val="00FD20F2"/>
    <w:rsid w:val="00FF1EBB"/>
    <w:rsid w:val="00FF3035"/>
    <w:rsid w:val="01744F1B"/>
    <w:rsid w:val="06435CF7"/>
    <w:rsid w:val="08E5416F"/>
    <w:rsid w:val="0B7D000C"/>
    <w:rsid w:val="0C2D1222"/>
    <w:rsid w:val="0CCA6623"/>
    <w:rsid w:val="127B6C29"/>
    <w:rsid w:val="15701F78"/>
    <w:rsid w:val="15BD7BC5"/>
    <w:rsid w:val="233357ED"/>
    <w:rsid w:val="26D92385"/>
    <w:rsid w:val="28840EC2"/>
    <w:rsid w:val="28DC15FC"/>
    <w:rsid w:val="31117F8A"/>
    <w:rsid w:val="40093884"/>
    <w:rsid w:val="408B7A35"/>
    <w:rsid w:val="42195099"/>
    <w:rsid w:val="49C60D15"/>
    <w:rsid w:val="607E7709"/>
    <w:rsid w:val="65890D97"/>
    <w:rsid w:val="679C40A6"/>
    <w:rsid w:val="7892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TOC2"/>
    <w:basedOn w:val="1"/>
    <w:next w:val="1"/>
    <w:qFormat/>
    <w:uiPriority w:val="0"/>
    <w:pPr>
      <w:spacing w:before="100" w:beforeAutospacing="1" w:after="100" w:afterAutospacing="1"/>
      <w:ind w:left="420"/>
      <w:jc w:val="left"/>
    </w:pPr>
    <w:rPr>
      <w:rFonts w:eastAsia="仿宋"/>
      <w:sz w:val="2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1737</Words>
  <Characters>1915</Characters>
  <Lines>47</Lines>
  <Paragraphs>13</Paragraphs>
  <TotalTime>4</TotalTime>
  <ScaleCrop>false</ScaleCrop>
  <LinksUpToDate>false</LinksUpToDate>
  <CharactersWithSpaces>1942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2023-10-24T17:30:00Z</dcterms:created>
  <dc:creator>明炫 赵</dc:creator>
  <cp:lastModifiedBy>He</cp:lastModifiedBy>
  <cp:lastPrinted>2023-11-06T12:16:00Z</cp:lastPrinted>
  <dcterms:modified xsi:type="dcterms:W3CDTF">2024-09-30T06:26:38Z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EC59818A7D844DF1BD11398FDBC8EF1A_13</vt:lpwstr>
  </property>
</Properties>
</file>