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86" w:rsidRDefault="00E212D6">
      <w:pPr>
        <w:spacing w:line="600" w:lineRule="exact"/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广州软件学院学士学位授予实施细则</w:t>
      </w:r>
    </w:p>
    <w:p w:rsidR="00407086" w:rsidRDefault="00E212D6">
      <w:pPr>
        <w:spacing w:line="600" w:lineRule="exact"/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（修订）</w:t>
      </w:r>
    </w:p>
    <w:p w:rsidR="00407086" w:rsidRDefault="00E212D6">
      <w:pPr>
        <w:numPr>
          <w:ilvl w:val="0"/>
          <w:numId w:val="1"/>
        </w:numPr>
        <w:spacing w:line="600" w:lineRule="exact"/>
        <w:ind w:leftChars="-4" w:left="-8"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总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则</w:t>
      </w:r>
    </w:p>
    <w:p w:rsidR="00407086" w:rsidRDefault="00E212D6">
      <w:pPr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第一条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 w:rsidRPr="00946772">
        <w:rPr>
          <w:rFonts w:ascii="仿宋_GB2312" w:eastAsia="仿宋_GB2312" w:hAnsi="宋体" w:hint="eastAsia"/>
          <w:bCs/>
          <w:sz w:val="32"/>
          <w:szCs w:val="32"/>
        </w:rPr>
        <w:t>依据</w:t>
      </w:r>
      <w:r>
        <w:rPr>
          <w:rFonts w:ascii="仿宋_GB2312" w:eastAsia="仿宋_GB2312" w:hAnsi="宋体" w:hint="eastAsia"/>
          <w:bCs/>
          <w:sz w:val="32"/>
          <w:szCs w:val="32"/>
        </w:rPr>
        <w:t>《中华人民共和国学位条例》、《中华人民共和国学位条例暂行实施办法》、国务院学位委员会《学士学位授权与授予管理办法》（学位</w:t>
      </w:r>
      <w:r>
        <w:rPr>
          <w:rFonts w:ascii="仿宋_GB2312" w:eastAsia="仿宋_GB2312" w:hAnsi="宋体" w:hint="eastAsia"/>
          <w:bCs/>
          <w:sz w:val="32"/>
          <w:szCs w:val="32"/>
        </w:rPr>
        <w:t>[2019]20</w:t>
      </w:r>
      <w:r>
        <w:rPr>
          <w:rFonts w:ascii="仿宋_GB2312" w:eastAsia="仿宋_GB2312" w:hAnsi="宋体" w:hint="eastAsia"/>
          <w:bCs/>
          <w:sz w:val="32"/>
          <w:szCs w:val="32"/>
        </w:rPr>
        <w:t>号）、《广东省学士学位授权与授予管理实施细则》（粤学位</w:t>
      </w:r>
      <w:r>
        <w:rPr>
          <w:rFonts w:ascii="仿宋_GB2312" w:eastAsia="仿宋_GB2312" w:hAnsi="宋体" w:hint="eastAsia"/>
          <w:bCs/>
          <w:sz w:val="32"/>
          <w:szCs w:val="32"/>
        </w:rPr>
        <w:t>[2021]5</w:t>
      </w:r>
      <w:r>
        <w:rPr>
          <w:rFonts w:ascii="仿宋_GB2312" w:eastAsia="仿宋_GB2312" w:hAnsi="宋体" w:hint="eastAsia"/>
          <w:bCs/>
          <w:sz w:val="32"/>
          <w:szCs w:val="32"/>
        </w:rPr>
        <w:t>号）、《广州软件学院学位评定委员会章程》等有关规定，结合我校实际情况，特制定本实施细则。</w:t>
      </w:r>
    </w:p>
    <w:p w:rsidR="00407086" w:rsidRDefault="00E212D6">
      <w:pPr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第二条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按照教育部颁布的《普通高等学校本科专业目录》，我校可授予学士学位的学科门类有：经济学、文学、工学、管理学和艺术学。</w:t>
      </w:r>
    </w:p>
    <w:p w:rsidR="00407086" w:rsidRDefault="00E212D6">
      <w:pPr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第三条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学校学士学位授予对象为普通高等教育本科毕业生。</w:t>
      </w:r>
    </w:p>
    <w:p w:rsidR="00407086" w:rsidRDefault="00E212D6">
      <w:pPr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第四条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学士学位的授予必须按照“坚持标准、严格要求、保证质量、公正合理”的原则进行。</w:t>
      </w:r>
    </w:p>
    <w:p w:rsidR="00407086" w:rsidRDefault="00E212D6">
      <w:pPr>
        <w:numPr>
          <w:ilvl w:val="0"/>
          <w:numId w:val="1"/>
        </w:numPr>
        <w:spacing w:line="600" w:lineRule="exact"/>
        <w:ind w:leftChars="-4" w:left="-8"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组织机构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学士学位授予工作实行学校学位评定委员会和学位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评定分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委员会两级管理。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第六条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学校学位评定委员会是全校学位工作的领导机构，委员</w:t>
      </w:r>
      <w:r>
        <w:rPr>
          <w:rFonts w:ascii="仿宋_GB2312" w:eastAsia="仿宋_GB2312" w:hAnsi="宋体" w:hint="eastAsia"/>
          <w:bCs/>
          <w:sz w:val="32"/>
          <w:szCs w:val="32"/>
        </w:rPr>
        <w:t>11-1</w:t>
      </w:r>
      <w:r>
        <w:rPr>
          <w:rFonts w:ascii="仿宋_GB2312" w:eastAsia="仿宋_GB2312" w:hAnsi="宋体"/>
          <w:bCs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sz w:val="32"/>
          <w:szCs w:val="32"/>
        </w:rPr>
        <w:t>人（人数为奇数），其中主任</w:t>
      </w:r>
      <w:r>
        <w:rPr>
          <w:rFonts w:ascii="仿宋_GB2312" w:eastAsia="仿宋_GB2312" w:hAnsi="宋体" w:hint="eastAsia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人，副主任</w:t>
      </w:r>
      <w:r>
        <w:rPr>
          <w:rFonts w:ascii="仿宋_GB2312" w:eastAsia="仿宋_GB2312" w:hAnsi="宋体" w:hint="eastAsia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人，每届任期</w:t>
      </w:r>
      <w:r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年。负责全校学位授予及其相关工作进行</w:t>
      </w: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指导、监督、检查、审议职责。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第七条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学位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评定分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委员会按教学单位设立。分委员由</w:t>
      </w:r>
      <w:r>
        <w:rPr>
          <w:rFonts w:ascii="仿宋_GB2312" w:eastAsia="仿宋_GB2312" w:hAnsi="宋体" w:hint="eastAsia"/>
          <w:bCs/>
          <w:sz w:val="32"/>
          <w:szCs w:val="32"/>
        </w:rPr>
        <w:t>5-7</w:t>
      </w:r>
      <w:r>
        <w:rPr>
          <w:rFonts w:ascii="仿宋_GB2312" w:eastAsia="仿宋_GB2312" w:hAnsi="宋体" w:hint="eastAsia"/>
          <w:bCs/>
          <w:sz w:val="32"/>
          <w:szCs w:val="32"/>
        </w:rPr>
        <w:t>人（人数为奇数）组成，主要职责是根据本细则的有关规</w:t>
      </w:r>
      <w:r>
        <w:rPr>
          <w:rFonts w:ascii="仿宋_GB2312" w:eastAsia="仿宋_GB2312" w:hAnsi="宋体" w:hint="eastAsia"/>
          <w:bCs/>
          <w:sz w:val="32"/>
          <w:szCs w:val="32"/>
        </w:rPr>
        <w:t>定进行初步资格审查，并提出学士学位授予和不授予建议名单。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第八条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学校学位评定委员会办公室（以下简称“学位办”）设在教务处，为学位评定委员会的日常办事机构，负责处理学位评定委员会的日常事务及管理工作。</w:t>
      </w:r>
    </w:p>
    <w:p w:rsidR="00407086" w:rsidRDefault="00E212D6">
      <w:pPr>
        <w:numPr>
          <w:ilvl w:val="0"/>
          <w:numId w:val="1"/>
        </w:numPr>
        <w:spacing w:line="600" w:lineRule="exact"/>
        <w:ind w:leftChars="-4" w:left="-8"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授予条件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第九条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学士学位授予的条件：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（一）拥护中国共产党的领导，拥护社会主义制度，遵守中华人民共和国宪法和法律，遵守学校相关规章制度，德智体美劳全面发展。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（二）品行端正，恪守学术道德，坚持学术诚信。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（三）在学籍规定的修业年限内，完成本专业培养方案规定的教学计划，修满学分，经审核准予毕业；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（四）较好地掌握本门学科的基础理论、专门知识和基本技能，并且具有从事科学研究工作或担负专门技术工作的初步能力。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（五）所有课程的平均学分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绩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点在</w:t>
      </w:r>
      <w:r>
        <w:rPr>
          <w:rFonts w:ascii="仿宋_GB2312" w:eastAsia="仿宋_GB2312" w:hAnsi="宋体" w:hint="eastAsia"/>
          <w:bCs/>
          <w:sz w:val="32"/>
          <w:szCs w:val="32"/>
        </w:rPr>
        <w:t>2.0</w:t>
      </w:r>
      <w:r>
        <w:rPr>
          <w:rFonts w:ascii="仿宋_GB2312" w:eastAsia="仿宋_GB2312" w:hAnsi="宋体" w:hint="eastAsia"/>
          <w:bCs/>
          <w:sz w:val="32"/>
          <w:szCs w:val="32"/>
        </w:rPr>
        <w:t>以上（含</w:t>
      </w:r>
      <w:r>
        <w:rPr>
          <w:rFonts w:ascii="仿宋_GB2312" w:eastAsia="仿宋_GB2312" w:hAnsi="宋体" w:hint="eastAsia"/>
          <w:bCs/>
          <w:sz w:val="32"/>
          <w:szCs w:val="32"/>
        </w:rPr>
        <w:t>2.0</w:t>
      </w:r>
      <w:r>
        <w:rPr>
          <w:rFonts w:ascii="仿宋_GB2312" w:eastAsia="仿宋_GB2312" w:hAnsi="宋体" w:hint="eastAsia"/>
          <w:bCs/>
          <w:sz w:val="32"/>
          <w:szCs w:val="32"/>
        </w:rPr>
        <w:t>）。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（六）毕业设计或毕业论文成绩在中等（含中等）以上。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有下列行为之一的，不授予学士学位：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（一）有反对党的路线、方针、政策之言行，经说服教</w:t>
      </w: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育无悔改表现的；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（二）违反校规受到记过及以上处分尚未解除的；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（三）学位论文、公开发表的研究成果存在抄袭、篡改、伪造等学术不端行为，情节严重的，或者代写论文、买卖论文的。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第十一条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具有毕业资格当年未取得学士学位者，一律不补授。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二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Cs/>
          <w:color w:val="C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结业的学生，如在最长学习年限内取得毕业资格，同时符合上述第九条所列条件的，经本人申请，可按上述程序补授学士学位；授学位的时间，按学校学位评定委员会通过日期填写。</w:t>
      </w:r>
    </w:p>
    <w:p w:rsidR="00407086" w:rsidRDefault="00E212D6">
      <w:pPr>
        <w:numPr>
          <w:ilvl w:val="0"/>
          <w:numId w:val="1"/>
        </w:numPr>
        <w:spacing w:line="600" w:lineRule="exact"/>
        <w:ind w:leftChars="-4" w:left="-8"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授予程序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本科毕业生授予学士学位程序：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（一）资格初审。各学位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评定分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委员会依据本细则中的学士学位授予条件逐一审核毕业生资格，并召开会议进行表决，形成学位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评定分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委员会授予意见，提交学位办（教务处）。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（二）学校复核。学位办（教务处）对各学位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评定分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委员会提交的学士学位授予材料进行汇总、复核，提交学校学位评定委员会。</w:t>
      </w:r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（三）学校评定委员会审定。学校学位评定委员会召开会议对学位办（教务处）提交的学位授予材料进行审定，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作出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学士学位授予或不授予的决定。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bookmarkStart w:id="0" w:name="_GoBack"/>
      <w:bookmarkEnd w:id="0"/>
    </w:p>
    <w:p w:rsidR="00407086" w:rsidRDefault="00E212D6">
      <w:pPr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（四）公示、颁发证书。经学校学位评定委员会审定并</w:t>
      </w: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同意授予学士学位的学生名单由学位办（教务处）在学校网站公示</w:t>
      </w:r>
      <w:r>
        <w:rPr>
          <w:rFonts w:ascii="仿宋_GB2312" w:eastAsia="仿宋_GB2312" w:hAnsi="宋体" w:hint="eastAsia"/>
          <w:bCs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sz w:val="32"/>
          <w:szCs w:val="32"/>
        </w:rPr>
        <w:t>天，公示后无异议者授予相应的学位证书。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四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学校学位评定委员会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及各分委员会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召开会议，出席会议委员应占学校学位评定委员会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及分委员会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全体委员的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color w:val="000000"/>
          <w:kern w:val="0"/>
          <w:sz w:val="31"/>
          <w:szCs w:val="31"/>
          <w:lang w:bidi="ar"/>
        </w:rPr>
        <w:t>2/3</w:t>
      </w:r>
      <w:r>
        <w:rPr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以上（含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color w:val="000000"/>
          <w:kern w:val="0"/>
          <w:sz w:val="31"/>
          <w:szCs w:val="31"/>
          <w:lang w:bidi="ar"/>
        </w:rPr>
        <w:t>2/3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）方为有效。会议以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举手或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无记名投票方式表决，同意授予学位的票数须超过学校学位评定委员会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及分委员会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全体委员人数的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color w:val="000000"/>
          <w:kern w:val="0"/>
          <w:sz w:val="31"/>
          <w:szCs w:val="31"/>
          <w:lang w:bidi="ar"/>
        </w:rPr>
        <w:t xml:space="preserve">1/2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方为通过。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五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学校学位评定委员会经审定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作出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不授予学士学位决定后，各学位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评定分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委员会应将决定书送达学生本人，并告知学生如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对学士学位授予有异议的，可在公示期内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以书面方式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实名向学校学位评定委员会提出异议，学校学位评定委员会在收到异议之日起</w:t>
      </w:r>
      <w:r>
        <w:rPr>
          <w:color w:val="000000"/>
          <w:kern w:val="0"/>
          <w:sz w:val="31"/>
          <w:szCs w:val="31"/>
          <w:lang w:bidi="ar"/>
        </w:rPr>
        <w:t>15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个工作日内做出回复并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以书面形式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送达申请人；逾期未提出异议的，学校不再受理其异议申请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六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学士学位证书遗失或损坏不予补发，经本人申请，学校可开具学士学位证明书，学士学位证明书与原证书具有同等效力。</w:t>
      </w:r>
    </w:p>
    <w:p w:rsidR="00407086" w:rsidRDefault="00E212D6">
      <w:pPr>
        <w:spacing w:line="600" w:lineRule="exact"/>
        <w:ind w:left="612" w:firstLineChars="600" w:firstLine="1920"/>
        <w:rPr>
          <w:rFonts w:ascii="楷体" w:eastAsia="楷体" w:hAnsi="楷体" w:cs="楷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第五章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学士学位的撤销</w:t>
      </w:r>
    </w:p>
    <w:p w:rsidR="00407086" w:rsidRDefault="00E212D6">
      <w:pPr>
        <w:spacing w:line="60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七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凡属下列情况之一者，均予以撤销学士学位并提请学校学位评定委员会审议决定：</w:t>
      </w:r>
    </w:p>
    <w:p w:rsidR="00407086" w:rsidRDefault="00E212D6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（一）经查实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,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违反国家招生规定取得入学资格或者学籍并已核发学位证书的。</w:t>
      </w:r>
    </w:p>
    <w:p w:rsidR="00407086" w:rsidRDefault="00E212D6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（二）经核实，在校学习期间有抄袭、剽窃等学术不端行为的。</w:t>
      </w:r>
    </w:p>
    <w:p w:rsidR="00407086" w:rsidRDefault="00E212D6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lastRenderedPageBreak/>
        <w:t>（三）以其他不正当手段获得学位证书的。</w:t>
      </w:r>
    </w:p>
    <w:p w:rsidR="00407086" w:rsidRDefault="00E212D6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学生对撤销学士学位处理有异议的，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可自学位评定委员会会议结束之日起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个工作日内向学校学位评定委员会进行申诉。在申诉期内未提出申诉的，学校不再受理。</w:t>
      </w:r>
    </w:p>
    <w:p w:rsidR="00407086" w:rsidRDefault="00E212D6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第六章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附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则</w:t>
      </w:r>
    </w:p>
    <w:p w:rsidR="00407086" w:rsidRDefault="00E212D6">
      <w:pPr>
        <w:widowControl/>
        <w:ind w:firstLineChars="200" w:firstLine="643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第十</w:t>
      </w:r>
      <w:r>
        <w:rPr>
          <w:rFonts w:ascii="楷体" w:eastAsia="楷体" w:hAnsi="楷体" w:cs="楷体" w:hint="eastAsia"/>
          <w:b/>
          <w:sz w:val="32"/>
          <w:szCs w:val="32"/>
        </w:rPr>
        <w:t>八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本细则未尽事宜，依据《中华人民共和国学位条例》及《中华人民共和国学位条例暂行实施办法》等相关规定，由学校学位评定委员会审议处理。</w:t>
      </w:r>
    </w:p>
    <w:p w:rsidR="00407086" w:rsidRDefault="00E212D6">
      <w:pPr>
        <w:widowControl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第</w:t>
      </w:r>
      <w:r>
        <w:rPr>
          <w:rFonts w:ascii="楷体" w:eastAsia="楷体" w:hAnsi="楷体" w:cs="楷体" w:hint="eastAsia"/>
          <w:b/>
          <w:sz w:val="32"/>
          <w:szCs w:val="32"/>
        </w:rPr>
        <w:t>十九</w:t>
      </w:r>
      <w:r>
        <w:rPr>
          <w:rFonts w:ascii="楷体" w:eastAsia="楷体" w:hAnsi="楷体" w:cs="楷体" w:hint="eastAsia"/>
          <w:b/>
          <w:sz w:val="32"/>
          <w:szCs w:val="32"/>
        </w:rPr>
        <w:t>条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本细则自发布之日起施行，由学校学位评定委员会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授权教务处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负责解释。</w:t>
      </w:r>
    </w:p>
    <w:p w:rsidR="00407086" w:rsidRDefault="00E212D6">
      <w:pPr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             </w:t>
      </w:r>
    </w:p>
    <w:sectPr w:rsidR="0040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D6" w:rsidRDefault="00E212D6" w:rsidP="00946772">
      <w:r>
        <w:separator/>
      </w:r>
    </w:p>
  </w:endnote>
  <w:endnote w:type="continuationSeparator" w:id="0">
    <w:p w:rsidR="00E212D6" w:rsidRDefault="00E212D6" w:rsidP="0094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D6" w:rsidRDefault="00E212D6" w:rsidP="00946772">
      <w:r>
        <w:separator/>
      </w:r>
    </w:p>
  </w:footnote>
  <w:footnote w:type="continuationSeparator" w:id="0">
    <w:p w:rsidR="00E212D6" w:rsidRDefault="00E212D6" w:rsidP="0094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B3D"/>
    <w:multiLevelType w:val="singleLevel"/>
    <w:tmpl w:val="13666B3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37C8"/>
    <w:rsid w:val="0003697C"/>
    <w:rsid w:val="00063B5C"/>
    <w:rsid w:val="001D21D8"/>
    <w:rsid w:val="001E6503"/>
    <w:rsid w:val="0025421E"/>
    <w:rsid w:val="00296E71"/>
    <w:rsid w:val="00407086"/>
    <w:rsid w:val="004437E6"/>
    <w:rsid w:val="00477D3E"/>
    <w:rsid w:val="00495B5C"/>
    <w:rsid w:val="00506CA0"/>
    <w:rsid w:val="005566B7"/>
    <w:rsid w:val="005C0BF0"/>
    <w:rsid w:val="007527AB"/>
    <w:rsid w:val="00891431"/>
    <w:rsid w:val="008B48B7"/>
    <w:rsid w:val="008C5A46"/>
    <w:rsid w:val="00906780"/>
    <w:rsid w:val="00946772"/>
    <w:rsid w:val="00A66731"/>
    <w:rsid w:val="00B179FB"/>
    <w:rsid w:val="00BE0D84"/>
    <w:rsid w:val="00C07909"/>
    <w:rsid w:val="00C56225"/>
    <w:rsid w:val="00E212D6"/>
    <w:rsid w:val="00F47867"/>
    <w:rsid w:val="00FB43DB"/>
    <w:rsid w:val="00FD15E8"/>
    <w:rsid w:val="00FD5CB1"/>
    <w:rsid w:val="03300CB1"/>
    <w:rsid w:val="03764194"/>
    <w:rsid w:val="03D9506F"/>
    <w:rsid w:val="0A1E25FF"/>
    <w:rsid w:val="150F37C8"/>
    <w:rsid w:val="15FF6F53"/>
    <w:rsid w:val="294524ED"/>
    <w:rsid w:val="2B867850"/>
    <w:rsid w:val="38511B8C"/>
    <w:rsid w:val="47494EBC"/>
    <w:rsid w:val="511435E9"/>
    <w:rsid w:val="59530178"/>
    <w:rsid w:val="5BED613F"/>
    <w:rsid w:val="652A3DA2"/>
    <w:rsid w:val="66364CCC"/>
    <w:rsid w:val="68C94FAC"/>
    <w:rsid w:val="6CC62EBA"/>
    <w:rsid w:val="71B75C03"/>
    <w:rsid w:val="7D660B6F"/>
    <w:rsid w:val="7FC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12D30-30FA-41AE-AC15-9425279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314</Words>
  <Characters>1795</Characters>
  <Application>Microsoft Office Word</Application>
  <DocSecurity>0</DocSecurity>
  <Lines>14</Lines>
  <Paragraphs>4</Paragraphs>
  <ScaleCrop>false</ScaleCrop>
  <Company>微软中国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WIN</cp:lastModifiedBy>
  <cp:revision>17</cp:revision>
  <dcterms:created xsi:type="dcterms:W3CDTF">2022-12-04T06:52:00Z</dcterms:created>
  <dcterms:modified xsi:type="dcterms:W3CDTF">2022-12-29T08:39:00Z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