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FC" w:rsidRPr="00C40BAA" w:rsidRDefault="00470BFC" w:rsidP="00470BFC">
      <w:pPr>
        <w:snapToGrid w:val="0"/>
        <w:spacing w:line="360" w:lineRule="auto"/>
        <w:jc w:val="center"/>
        <w:rPr>
          <w:rFonts w:ascii="方正小标宋简体" w:eastAsia="方正小标宋简体" w:hAnsi="方正小标宋简体" w:cs="方正小标宋简体"/>
          <w:sz w:val="44"/>
          <w:szCs w:val="44"/>
        </w:rPr>
      </w:pPr>
      <w:r w:rsidRPr="00C40BAA">
        <w:rPr>
          <w:rFonts w:ascii="方正小标宋简体" w:eastAsia="方正小标宋简体" w:hAnsi="方正小标宋简体" w:cs="方正小标宋简体"/>
          <w:sz w:val="44"/>
          <w:szCs w:val="44"/>
        </w:rPr>
        <w:t>广州软件学院学习导师工作条例</w:t>
      </w:r>
    </w:p>
    <w:p w:rsidR="00470BFC" w:rsidRPr="00C40BAA" w:rsidRDefault="00470BFC" w:rsidP="00C40BAA">
      <w:pPr>
        <w:pStyle w:val="2"/>
        <w:adjustRightInd w:val="0"/>
        <w:snapToGrid w:val="0"/>
        <w:spacing w:line="600" w:lineRule="exact"/>
        <w:ind w:firstLineChars="200" w:firstLine="640"/>
        <w:rPr>
          <w:color w:val="000000"/>
        </w:rPr>
      </w:pP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为更好地实施学分制和选课制，建设学院优良的学风，充分发挥教师在人才培养过程中的指导作用，提高教学质量和学习效果，特制订本条例。</w:t>
      </w:r>
    </w:p>
    <w:p w:rsidR="00470BFC" w:rsidRPr="00C40BAA" w:rsidRDefault="00470BFC" w:rsidP="00C40BAA">
      <w:pPr>
        <w:pStyle w:val="2"/>
        <w:adjustRightInd w:val="0"/>
        <w:snapToGrid w:val="0"/>
        <w:spacing w:line="600" w:lineRule="exact"/>
        <w:ind w:firstLineChars="200" w:firstLine="640"/>
        <w:rPr>
          <w:rFonts w:ascii="黑体" w:eastAsia="黑体" w:hAnsi="黑体"/>
        </w:rPr>
      </w:pPr>
      <w:r w:rsidRPr="00C40BAA">
        <w:rPr>
          <w:rFonts w:ascii="黑体" w:eastAsia="黑体" w:hAnsi="黑体"/>
        </w:rPr>
        <w:t>一、学习导师的配备及各年级工作重点</w:t>
      </w:r>
    </w:p>
    <w:p w:rsidR="00470BFC" w:rsidRPr="00C40BAA" w:rsidRDefault="00C40BAA" w:rsidP="00C40BAA">
      <w:pPr>
        <w:pStyle w:val="2"/>
        <w:adjustRightInd w:val="0"/>
        <w:snapToGrid w:val="0"/>
        <w:spacing w:line="600" w:lineRule="exact"/>
        <w:ind w:firstLineChars="200" w:firstLine="640"/>
        <w:rPr>
          <w:color w:val="000000"/>
        </w:rPr>
      </w:pPr>
      <w:r w:rsidRPr="00605E67">
        <w:rPr>
          <w:color w:val="000000"/>
        </w:rPr>
        <w:t>（一）</w:t>
      </w:r>
      <w:r w:rsidR="00470BFC" w:rsidRPr="00C40BAA">
        <w:rPr>
          <w:color w:val="000000"/>
        </w:rPr>
        <w:t>每个非毕业行政班配备学习导师1名；毕业班不配备学习导师。</w:t>
      </w:r>
    </w:p>
    <w:p w:rsidR="00470BFC" w:rsidRPr="00C40BAA" w:rsidRDefault="00C40BAA" w:rsidP="00C40BAA">
      <w:pPr>
        <w:pStyle w:val="2"/>
        <w:adjustRightInd w:val="0"/>
        <w:snapToGrid w:val="0"/>
        <w:spacing w:line="600" w:lineRule="exact"/>
        <w:ind w:firstLineChars="200" w:firstLine="640"/>
        <w:rPr>
          <w:color w:val="000000"/>
        </w:rPr>
      </w:pPr>
      <w:r w:rsidRPr="00605E67">
        <w:rPr>
          <w:color w:val="000000"/>
        </w:rPr>
        <w:t>（二）</w:t>
      </w:r>
      <w:r w:rsidR="00470BFC" w:rsidRPr="00C40BAA">
        <w:rPr>
          <w:color w:val="000000"/>
        </w:rPr>
        <w:t>学习导师的主要工作任务是对学生进行学习引导，根据不同学期工作指引开展导师工作，从专业修读方面对学生进行引导、辅助（详见《学习导师工作指引》）。</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一年级学习导师需要做好学生英语早读指导工作，提高学生的英语水平和学习效果，包括早读的辅导、考勤、思想纪律引导等。</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本科班学习导师需要认真做好有关获得学士学位的宣传教育和学习指导工作。</w:t>
      </w:r>
    </w:p>
    <w:p w:rsidR="00470BFC" w:rsidRPr="00C40BAA" w:rsidRDefault="00C40BAA" w:rsidP="00C40BAA">
      <w:pPr>
        <w:pStyle w:val="2"/>
        <w:adjustRightInd w:val="0"/>
        <w:snapToGrid w:val="0"/>
        <w:spacing w:line="600" w:lineRule="exact"/>
        <w:ind w:firstLineChars="200" w:firstLine="640"/>
        <w:rPr>
          <w:color w:val="000000"/>
        </w:rPr>
      </w:pPr>
      <w:r w:rsidRPr="00605E67">
        <w:rPr>
          <w:color w:val="000000"/>
        </w:rPr>
        <w:t>（三）</w:t>
      </w:r>
      <w:r w:rsidR="00470BFC" w:rsidRPr="00C40BAA">
        <w:rPr>
          <w:color w:val="000000"/>
        </w:rPr>
        <w:t>学习导师实行聘任制，任期为一学年，由学生所在系提名，学院任命。</w:t>
      </w:r>
    </w:p>
    <w:p w:rsidR="00470BFC" w:rsidRPr="00C40BAA" w:rsidRDefault="00470BFC" w:rsidP="00C40BAA">
      <w:pPr>
        <w:pStyle w:val="2"/>
        <w:adjustRightInd w:val="0"/>
        <w:snapToGrid w:val="0"/>
        <w:spacing w:line="600" w:lineRule="exact"/>
        <w:ind w:firstLineChars="200" w:firstLine="640"/>
        <w:rPr>
          <w:rFonts w:ascii="黑体" w:eastAsia="黑体" w:hAnsi="黑体"/>
        </w:rPr>
      </w:pPr>
      <w:r w:rsidRPr="00C40BAA">
        <w:rPr>
          <w:rFonts w:ascii="黑体" w:eastAsia="黑体" w:hAnsi="黑体"/>
        </w:rPr>
        <w:t>二、学习导师的任职条件</w:t>
      </w:r>
    </w:p>
    <w:p w:rsidR="00470BFC" w:rsidRPr="00C40BAA" w:rsidRDefault="0077270E" w:rsidP="00C40BAA">
      <w:pPr>
        <w:pStyle w:val="2"/>
        <w:adjustRightInd w:val="0"/>
        <w:snapToGrid w:val="0"/>
        <w:spacing w:line="600" w:lineRule="exact"/>
        <w:ind w:firstLineChars="200" w:firstLine="640"/>
        <w:rPr>
          <w:color w:val="000000"/>
        </w:rPr>
      </w:pPr>
      <w:r w:rsidRPr="00C40BAA">
        <w:rPr>
          <w:color w:val="000000"/>
        </w:rPr>
        <w:t>（一）</w:t>
      </w:r>
      <w:r w:rsidR="00470BFC" w:rsidRPr="00C40BAA">
        <w:rPr>
          <w:color w:val="000000"/>
        </w:rPr>
        <w:t>热爱教育事业，具有良好的教师职业道德和组织管理能力，工作认真负责，关心学生，善于与学生沟通、营造良好的学风。</w:t>
      </w:r>
    </w:p>
    <w:p w:rsidR="00470BFC" w:rsidRPr="00C40BAA" w:rsidRDefault="0077270E" w:rsidP="00C40BAA">
      <w:pPr>
        <w:pStyle w:val="2"/>
        <w:adjustRightInd w:val="0"/>
        <w:snapToGrid w:val="0"/>
        <w:spacing w:line="600" w:lineRule="exact"/>
        <w:ind w:firstLineChars="200" w:firstLine="640"/>
        <w:rPr>
          <w:color w:val="000000"/>
        </w:rPr>
      </w:pPr>
      <w:r w:rsidRPr="00C40BAA">
        <w:rPr>
          <w:color w:val="000000"/>
        </w:rPr>
        <w:lastRenderedPageBreak/>
        <w:t>（二）</w:t>
      </w:r>
      <w:r w:rsidR="00470BFC" w:rsidRPr="00C40BAA">
        <w:rPr>
          <w:color w:val="000000"/>
        </w:rPr>
        <w:t>熟悉学院教学管理理念及学分制管理条例，熟悉相关学科专业知识，具备引导、指导学生完成各项学习任务的能力。</w:t>
      </w:r>
    </w:p>
    <w:p w:rsidR="00470BFC" w:rsidRPr="00C40BAA" w:rsidRDefault="0077270E" w:rsidP="00C40BAA">
      <w:pPr>
        <w:pStyle w:val="2"/>
        <w:adjustRightInd w:val="0"/>
        <w:snapToGrid w:val="0"/>
        <w:spacing w:line="600" w:lineRule="exact"/>
        <w:ind w:firstLineChars="200" w:firstLine="640"/>
        <w:rPr>
          <w:color w:val="000000"/>
        </w:rPr>
      </w:pPr>
      <w:r w:rsidRPr="00C40BAA">
        <w:rPr>
          <w:color w:val="000000"/>
        </w:rPr>
        <w:t>（三）</w:t>
      </w:r>
      <w:r w:rsidR="00470BFC" w:rsidRPr="00C40BAA">
        <w:rPr>
          <w:color w:val="000000"/>
        </w:rPr>
        <w:t>鼓励高职称、高学历的教师担任学习导师。</w:t>
      </w:r>
    </w:p>
    <w:p w:rsidR="00470BFC" w:rsidRPr="00C40BAA" w:rsidRDefault="00470BFC" w:rsidP="00C40BAA">
      <w:pPr>
        <w:pStyle w:val="2"/>
        <w:adjustRightInd w:val="0"/>
        <w:snapToGrid w:val="0"/>
        <w:spacing w:line="600" w:lineRule="exact"/>
        <w:ind w:firstLineChars="200" w:firstLine="640"/>
        <w:rPr>
          <w:rFonts w:ascii="黑体" w:eastAsia="黑体" w:hAnsi="黑体"/>
        </w:rPr>
      </w:pPr>
      <w:r w:rsidRPr="00C40BAA">
        <w:rPr>
          <w:rFonts w:ascii="黑体" w:eastAsia="黑体" w:hAnsi="黑体"/>
        </w:rPr>
        <w:t>三、学习导师的岗位职责</w:t>
      </w:r>
    </w:p>
    <w:p w:rsidR="00470BFC" w:rsidRPr="00C91AE0" w:rsidRDefault="00470BFC" w:rsidP="00C40BAA">
      <w:pPr>
        <w:pStyle w:val="2"/>
        <w:adjustRightInd w:val="0"/>
        <w:snapToGrid w:val="0"/>
        <w:spacing w:line="600" w:lineRule="exact"/>
        <w:ind w:firstLineChars="200" w:firstLine="640"/>
        <w:rPr>
          <w:rFonts w:ascii="楷体_GB2312" w:eastAsia="楷体_GB2312"/>
        </w:rPr>
      </w:pPr>
      <w:r w:rsidRPr="00C91AE0">
        <w:rPr>
          <w:rFonts w:ascii="楷体_GB2312" w:eastAsia="楷体_GB2312"/>
        </w:rPr>
        <w:t>（一）专业指导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1.向学生宣传专业思想、专业培养目标、社会行业状况和就业前景。</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2.熟悉学院的学分制和选课制，向学生宣讲学分制管理要求和实施细则，从知识结构角度指导学生做好选课、调整专业、选修辅修专业、提前完成学业等有关学习方面的重要事项。</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3.了解学生学习情况，帮助学习困难学生解决专业学习中的有关问题；指导学生掌握大学的学习方法；指导优秀学生在专业领域中不断进取。</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4.熟悉学生手册、信息管理系统使用手册中的各项教学管理规章制度，尤其是学生考勤管理制度、请假管理规定、考试作弊行为处理规定等学习纪律相关要求，认真向学生进行学习纪律教育。</w:t>
      </w:r>
    </w:p>
    <w:p w:rsidR="00470BFC" w:rsidRPr="00C91AE0" w:rsidRDefault="00470BFC" w:rsidP="00C40BAA">
      <w:pPr>
        <w:pStyle w:val="2"/>
        <w:adjustRightInd w:val="0"/>
        <w:snapToGrid w:val="0"/>
        <w:spacing w:line="600" w:lineRule="exact"/>
        <w:ind w:firstLineChars="200" w:firstLine="640"/>
        <w:rPr>
          <w:rFonts w:ascii="楷体_GB2312" w:eastAsia="楷体_GB2312"/>
        </w:rPr>
      </w:pPr>
      <w:r w:rsidRPr="00C91AE0">
        <w:rPr>
          <w:rFonts w:ascii="楷体_GB2312" w:eastAsia="楷体_GB2312"/>
        </w:rPr>
        <w:t>（二）本科学生获得学士学位的指导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认真学习学院关于学士学位授予条件及要求的相关文件，熟悉学士学位授予对课程成绩、纪律处分、英语等级考试成绩等的要求，从本科生入学起就开始做好这方面的宣传</w:t>
      </w:r>
      <w:r w:rsidRPr="00C40BAA">
        <w:rPr>
          <w:color w:val="000000"/>
        </w:rPr>
        <w:lastRenderedPageBreak/>
        <w:t>教育和学习指导工作。</w:t>
      </w:r>
    </w:p>
    <w:p w:rsidR="00470BFC" w:rsidRPr="00C91AE0" w:rsidRDefault="00470BFC" w:rsidP="00C40BAA">
      <w:pPr>
        <w:pStyle w:val="2"/>
        <w:adjustRightInd w:val="0"/>
        <w:snapToGrid w:val="0"/>
        <w:spacing w:line="600" w:lineRule="exact"/>
        <w:ind w:firstLineChars="200" w:firstLine="640"/>
        <w:rPr>
          <w:rFonts w:ascii="楷体_GB2312" w:eastAsia="楷体_GB2312"/>
        </w:rPr>
      </w:pPr>
      <w:r w:rsidRPr="00C91AE0">
        <w:rPr>
          <w:rFonts w:ascii="楷体_GB2312" w:eastAsia="楷体_GB2312"/>
        </w:rPr>
        <w:t>（三）早读指导（一年级）</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制定早读计划，组织早读，包括考勤及相关的思想教育，并组织适当的带读或辅导，营造良好的学习风气和积极向上的氛围，引导学生养成勤学好练的习惯，提高学生的英语水平。</w:t>
      </w:r>
    </w:p>
    <w:p w:rsidR="00470BFC" w:rsidRPr="00C40BAA" w:rsidRDefault="00470BFC" w:rsidP="00C40BAA">
      <w:pPr>
        <w:pStyle w:val="2"/>
        <w:adjustRightInd w:val="0"/>
        <w:snapToGrid w:val="0"/>
        <w:spacing w:line="600" w:lineRule="exact"/>
        <w:ind w:firstLineChars="200" w:firstLine="640"/>
        <w:rPr>
          <w:rFonts w:ascii="黑体" w:eastAsia="黑体" w:hAnsi="黑体"/>
        </w:rPr>
      </w:pPr>
      <w:r w:rsidRPr="00C40BAA">
        <w:rPr>
          <w:rFonts w:ascii="黑体" w:eastAsia="黑体" w:hAnsi="黑体"/>
        </w:rPr>
        <w:t>四、学习导师的工作要求</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一</w:t>
      </w:r>
      <w:r w:rsidRPr="00605E67">
        <w:rPr>
          <w:color w:val="000000"/>
        </w:rPr>
        <w:t>）</w:t>
      </w:r>
      <w:r w:rsidR="00470BFC" w:rsidRPr="00C40BAA">
        <w:rPr>
          <w:color w:val="000000"/>
        </w:rPr>
        <w:t>根据学院制定的工作指引，制定每学期导师工作计划，完成计划的工作内容，填写导师工作手册，交系审核、存档。</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二</w:t>
      </w:r>
      <w:r w:rsidRPr="00605E67">
        <w:rPr>
          <w:color w:val="000000"/>
        </w:rPr>
        <w:t>）</w:t>
      </w:r>
      <w:r w:rsidR="00470BFC" w:rsidRPr="00C40BAA">
        <w:rPr>
          <w:color w:val="000000"/>
        </w:rPr>
        <w:t>每学期至少给所带班级学生举行两次专业学习指导讲座（主题班会）。专业学习指导讲座（主题班会）的举办时间建议安排在开学初和选课前。举办讲座（主题班会）前应提前准备好PPT或讲义。</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（三）</w:t>
      </w:r>
      <w:r w:rsidR="00470BFC" w:rsidRPr="00C40BAA">
        <w:rPr>
          <w:color w:val="000000"/>
        </w:rPr>
        <w:t>每学期至少到本班学生宿舍走访1次，在学生宿舍进行座谈、答疑，了解学生课外学习情况并作指导；每学期找学生谈话的人数至少占全班人数的20%，有针对性地就学生个体情况作相应专业学习指导。</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四</w:t>
      </w:r>
      <w:r w:rsidRPr="00605E67">
        <w:rPr>
          <w:color w:val="000000"/>
        </w:rPr>
        <w:t>）</w:t>
      </w:r>
      <w:r w:rsidR="00470BFC" w:rsidRPr="00C40BAA">
        <w:rPr>
          <w:color w:val="000000"/>
        </w:rPr>
        <w:t>每周设定一次指导时间（指导时间不少于2小时），并向学生明确具体时间、地点、方式（可与教师答疑时间重叠，不与学院指定的教研时间重叠）。</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五</w:t>
      </w:r>
      <w:r w:rsidRPr="00605E67">
        <w:rPr>
          <w:color w:val="000000"/>
        </w:rPr>
        <w:t>）</w:t>
      </w:r>
      <w:r w:rsidR="00470BFC" w:rsidRPr="00C40BAA">
        <w:rPr>
          <w:color w:val="000000"/>
        </w:rPr>
        <w:t>关注学生参加各项学科专业竞赛及其获奖、学生课程成绩不及格、受纪律处分、英语等级考试成绩等情况，</w:t>
      </w:r>
      <w:r w:rsidR="00470BFC" w:rsidRPr="00C40BAA">
        <w:rPr>
          <w:color w:val="000000"/>
        </w:rPr>
        <w:lastRenderedPageBreak/>
        <w:t>注重引导优秀学生，并对后进学生进行重点指导。</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六</w:t>
      </w:r>
      <w:r w:rsidRPr="00605E67">
        <w:rPr>
          <w:color w:val="000000"/>
        </w:rPr>
        <w:t>）</w:t>
      </w:r>
      <w:r w:rsidR="00470BFC" w:rsidRPr="00C40BAA">
        <w:rPr>
          <w:color w:val="000000"/>
        </w:rPr>
        <w:t>一年级学习导师组织班级早读时，要做好出勤登记。早读为第一学年的教学周，每周二、三、四早上8:00-8:40，教室由教务处统一安排。</w:t>
      </w:r>
    </w:p>
    <w:p w:rsidR="00470BFC" w:rsidRPr="00C40BAA" w:rsidRDefault="00C91AE0"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七</w:t>
      </w:r>
      <w:r w:rsidRPr="00605E67">
        <w:rPr>
          <w:color w:val="000000"/>
        </w:rPr>
        <w:t>）</w:t>
      </w:r>
      <w:r w:rsidR="00470BFC" w:rsidRPr="00C40BAA">
        <w:rPr>
          <w:color w:val="000000"/>
        </w:rPr>
        <w:t>对本科学生考研作相应指导。</w:t>
      </w:r>
    </w:p>
    <w:p w:rsidR="00470BFC" w:rsidRPr="00C40BAA" w:rsidRDefault="00470BFC" w:rsidP="00C40BAA">
      <w:pPr>
        <w:pStyle w:val="2"/>
        <w:adjustRightInd w:val="0"/>
        <w:snapToGrid w:val="0"/>
        <w:spacing w:line="600" w:lineRule="exact"/>
        <w:ind w:firstLineChars="200" w:firstLine="640"/>
        <w:rPr>
          <w:rFonts w:ascii="黑体" w:eastAsia="黑体" w:hAnsi="黑体"/>
        </w:rPr>
      </w:pPr>
      <w:r w:rsidRPr="00C40BAA">
        <w:rPr>
          <w:rFonts w:ascii="黑体" w:eastAsia="黑体" w:hAnsi="黑体"/>
        </w:rPr>
        <w:t>五、学习导师岗位补贴和考核管理</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学院根据财务预算发放学习导师岗位补贴；岗位补贴分为基本补贴和业绩奖励补贴。担任学习导师的发放基本补贴（60%），分月发放（不含假期）；每学期计算学习导师业绩一次（学习导师自评，学生所在系核对并汇总，教务处、主管教学院长审核。其中同一个老师带两个行政班的业绩合并按一个行政班计算。）计算时间为下一学期第3-6周，业绩合格的发放奖励补贴（40%），业绩不合格则不发放。</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学习导师业绩奖励参考标准[符合（1）或（2）]：</w:t>
      </w:r>
    </w:p>
    <w:p w:rsidR="00470BFC" w:rsidRPr="00C40BAA" w:rsidRDefault="00990CAD" w:rsidP="00C40BAA">
      <w:pPr>
        <w:pStyle w:val="2"/>
        <w:adjustRightInd w:val="0"/>
        <w:snapToGrid w:val="0"/>
        <w:spacing w:line="600" w:lineRule="exact"/>
        <w:ind w:firstLineChars="200" w:firstLine="640"/>
        <w:rPr>
          <w:color w:val="000000"/>
        </w:rPr>
      </w:pPr>
      <w:r w:rsidRPr="00605E67">
        <w:rPr>
          <w:color w:val="000000"/>
        </w:rPr>
        <w:t>（</w:t>
      </w:r>
      <w:r w:rsidRPr="00605E67">
        <w:rPr>
          <w:rFonts w:hint="eastAsia"/>
          <w:color w:val="000000"/>
        </w:rPr>
        <w:t>一</w:t>
      </w:r>
      <w:r w:rsidRPr="00605E67">
        <w:rPr>
          <w:color w:val="000000"/>
        </w:rPr>
        <w:t>）</w:t>
      </w:r>
      <w:r w:rsidR="00470BFC" w:rsidRPr="00C40BAA">
        <w:rPr>
          <w:color w:val="000000"/>
        </w:rPr>
        <w:t>在考核学期内，符合以下条件中4个条件：</w:t>
      </w:r>
    </w:p>
    <w:p w:rsidR="00470BFC" w:rsidRPr="00C40BAA" w:rsidRDefault="00BD142E" w:rsidP="00C40BAA">
      <w:pPr>
        <w:pStyle w:val="2"/>
        <w:adjustRightInd w:val="0"/>
        <w:snapToGrid w:val="0"/>
        <w:spacing w:line="600" w:lineRule="exact"/>
        <w:ind w:firstLineChars="200" w:firstLine="640"/>
        <w:rPr>
          <w:color w:val="000000"/>
        </w:rPr>
      </w:pPr>
      <w:r>
        <w:rPr>
          <w:rFonts w:hint="eastAsia"/>
          <w:color w:val="000000"/>
        </w:rPr>
        <w:t>1.</w:t>
      </w:r>
      <w:r w:rsidR="00470BFC" w:rsidRPr="00C40BAA">
        <w:rPr>
          <w:color w:val="000000"/>
        </w:rPr>
        <w:t>因旷课受纪律处分的学生人数不超过班级人数5%；</w:t>
      </w:r>
    </w:p>
    <w:p w:rsidR="00470BFC" w:rsidRPr="00C40BAA" w:rsidRDefault="00BD142E" w:rsidP="00C40BAA">
      <w:pPr>
        <w:pStyle w:val="2"/>
        <w:adjustRightInd w:val="0"/>
        <w:snapToGrid w:val="0"/>
        <w:spacing w:line="600" w:lineRule="exact"/>
        <w:ind w:firstLineChars="200" w:firstLine="640"/>
        <w:rPr>
          <w:color w:val="000000"/>
        </w:rPr>
      </w:pPr>
      <w:r>
        <w:rPr>
          <w:rFonts w:hint="eastAsia"/>
          <w:color w:val="000000"/>
        </w:rPr>
        <w:t>2.</w:t>
      </w:r>
      <w:r w:rsidR="00470BFC" w:rsidRPr="00C40BAA">
        <w:rPr>
          <w:color w:val="000000"/>
        </w:rPr>
        <w:t>因考试作弊受纪律处分的学生人数不超过班级人数2%；</w:t>
      </w:r>
    </w:p>
    <w:p w:rsidR="00470BFC" w:rsidRPr="00C40BAA" w:rsidRDefault="00BD142E" w:rsidP="00C40BAA">
      <w:pPr>
        <w:pStyle w:val="2"/>
        <w:adjustRightInd w:val="0"/>
        <w:snapToGrid w:val="0"/>
        <w:spacing w:line="600" w:lineRule="exact"/>
        <w:ind w:firstLineChars="200" w:firstLine="640"/>
        <w:rPr>
          <w:color w:val="000000"/>
        </w:rPr>
      </w:pPr>
      <w:r>
        <w:rPr>
          <w:rFonts w:hint="eastAsia"/>
          <w:color w:val="000000"/>
        </w:rPr>
        <w:t>3.</w:t>
      </w:r>
      <w:r w:rsidR="00470BFC" w:rsidRPr="00C40BAA">
        <w:rPr>
          <w:color w:val="000000"/>
        </w:rPr>
        <w:t>学生有1门及以上课程不及格的人数不超过班级人数10%；</w:t>
      </w:r>
    </w:p>
    <w:p w:rsidR="00470BFC" w:rsidRPr="00C40BAA" w:rsidRDefault="00BD142E" w:rsidP="00C40BAA">
      <w:pPr>
        <w:pStyle w:val="2"/>
        <w:adjustRightInd w:val="0"/>
        <w:snapToGrid w:val="0"/>
        <w:spacing w:line="600" w:lineRule="exact"/>
        <w:ind w:firstLineChars="200" w:firstLine="640"/>
        <w:rPr>
          <w:color w:val="000000"/>
        </w:rPr>
      </w:pPr>
      <w:r>
        <w:rPr>
          <w:rFonts w:hint="eastAsia"/>
          <w:color w:val="000000"/>
        </w:rPr>
        <w:t>4.</w:t>
      </w:r>
      <w:r w:rsidR="00470BFC" w:rsidRPr="00C40BAA">
        <w:rPr>
          <w:color w:val="000000"/>
        </w:rPr>
        <w:t>学生总评平均成绩低于70分的人数不超过班级人数15%；</w:t>
      </w:r>
    </w:p>
    <w:p w:rsidR="00470BFC" w:rsidRPr="00C40BAA" w:rsidRDefault="00BD142E" w:rsidP="00C40BAA">
      <w:pPr>
        <w:pStyle w:val="2"/>
        <w:adjustRightInd w:val="0"/>
        <w:snapToGrid w:val="0"/>
        <w:spacing w:line="600" w:lineRule="exact"/>
        <w:ind w:firstLineChars="200" w:firstLine="640"/>
        <w:rPr>
          <w:color w:val="000000"/>
        </w:rPr>
      </w:pPr>
      <w:r>
        <w:rPr>
          <w:rFonts w:hint="eastAsia"/>
          <w:color w:val="000000"/>
        </w:rPr>
        <w:t>5.</w:t>
      </w:r>
      <w:r w:rsidR="00470BFC" w:rsidRPr="00C40BAA">
        <w:rPr>
          <w:color w:val="000000"/>
        </w:rPr>
        <w:t>学生评价不低于8分。</w:t>
      </w:r>
    </w:p>
    <w:p w:rsidR="00470BFC" w:rsidRPr="00C40BAA" w:rsidRDefault="00990CAD" w:rsidP="00C40BAA">
      <w:pPr>
        <w:pStyle w:val="2"/>
        <w:adjustRightInd w:val="0"/>
        <w:snapToGrid w:val="0"/>
        <w:spacing w:line="600" w:lineRule="exact"/>
        <w:ind w:firstLineChars="200" w:firstLine="640"/>
        <w:rPr>
          <w:color w:val="000000"/>
        </w:rPr>
      </w:pPr>
      <w:r w:rsidRPr="00C91AE0">
        <w:rPr>
          <w:rFonts w:ascii="楷体_GB2312" w:eastAsia="楷体_GB2312"/>
        </w:rPr>
        <w:lastRenderedPageBreak/>
        <w:t>（</w:t>
      </w:r>
      <w:r>
        <w:rPr>
          <w:rFonts w:ascii="楷体_GB2312" w:eastAsia="楷体_GB2312" w:hint="eastAsia"/>
        </w:rPr>
        <w:t>二</w:t>
      </w:r>
      <w:r w:rsidRPr="00C91AE0">
        <w:rPr>
          <w:rFonts w:ascii="楷体_GB2312" w:eastAsia="楷体_GB2312"/>
        </w:rPr>
        <w:t>）</w:t>
      </w:r>
      <w:r w:rsidR="00470BFC" w:rsidRPr="00C40BAA">
        <w:rPr>
          <w:color w:val="000000"/>
        </w:rPr>
        <w:t>参加市/区级以上学科专业竞赛获奖人数(含校外专业竞赛联赛，不含文体娱比赛)达到班级人数3%及以上，或参加校/院级学科专业竞赛获三等奖（含三等奖）以上人数(不含系级竞赛，不含文体娱比赛)达到班级人数10%及以上。</w:t>
      </w:r>
    </w:p>
    <w:p w:rsidR="00470BFC" w:rsidRPr="00C40BAA" w:rsidRDefault="00470BFC" w:rsidP="00C40BAA">
      <w:pPr>
        <w:pStyle w:val="2"/>
        <w:adjustRightInd w:val="0"/>
        <w:snapToGrid w:val="0"/>
        <w:spacing w:line="600" w:lineRule="exact"/>
        <w:ind w:firstLineChars="200" w:firstLine="640"/>
        <w:rPr>
          <w:rFonts w:ascii="黑体" w:eastAsia="黑体" w:hAnsi="黑体"/>
        </w:rPr>
      </w:pPr>
      <w:r w:rsidRPr="00C40BAA">
        <w:rPr>
          <w:rFonts w:ascii="黑体" w:eastAsia="黑体" w:hAnsi="黑体"/>
        </w:rPr>
        <w:t>六、学生评价项目</w:t>
      </w:r>
    </w:p>
    <w:p w:rsidR="00470BFC" w:rsidRPr="00B95667" w:rsidRDefault="00470BFC" w:rsidP="00C40BAA">
      <w:pPr>
        <w:pStyle w:val="2"/>
        <w:adjustRightInd w:val="0"/>
        <w:snapToGrid w:val="0"/>
        <w:spacing w:line="600" w:lineRule="exact"/>
        <w:ind w:firstLineChars="200" w:firstLine="640"/>
        <w:rPr>
          <w:rFonts w:ascii="楷体_GB2312" w:eastAsia="楷体_GB2312"/>
        </w:rPr>
      </w:pPr>
      <w:r w:rsidRPr="00B95667">
        <w:rPr>
          <w:rFonts w:ascii="楷体_GB2312" w:eastAsia="楷体_GB2312"/>
        </w:rPr>
        <w:t>（一）专业指导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1.在选课辅导，转专业，辅修专业，提前完成学业及考研方面的指导。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2.每周指导答疑准时，指导学生有关专业问题的效果。</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3.对学生课程成绩不及格的关注和指导。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4.对学生受纪律处分的关注和指导。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5.每学期走访学生宿舍，并就专业等问题与学生有很好的交流；被谈话学生的人数统计。</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6.每学期举行2次专业讲座（主题班会），内容适当，能够起到指导作用。</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7.专业相关职业资格水平考试的介绍和指导。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8.鼓励和指导学生参加专业竞赛。</w:t>
      </w:r>
    </w:p>
    <w:p w:rsidR="00470BFC" w:rsidRPr="00B95667" w:rsidRDefault="00470BFC" w:rsidP="00C40BAA">
      <w:pPr>
        <w:pStyle w:val="2"/>
        <w:adjustRightInd w:val="0"/>
        <w:snapToGrid w:val="0"/>
        <w:spacing w:line="600" w:lineRule="exact"/>
        <w:ind w:firstLineChars="200" w:firstLine="640"/>
        <w:rPr>
          <w:rFonts w:ascii="楷体_GB2312" w:eastAsia="楷体_GB2312"/>
        </w:rPr>
      </w:pPr>
      <w:r w:rsidRPr="00B95667">
        <w:rPr>
          <w:rFonts w:ascii="楷体_GB2312" w:eastAsia="楷体_GB2312"/>
        </w:rPr>
        <w:t>（二）本科获得学士学位指导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1.对本科获得学士学位要求的宣传教育和学习指导。</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2.对英语等级考试成绩的关注和思想教育。</w:t>
      </w:r>
    </w:p>
    <w:p w:rsidR="00470BFC" w:rsidRPr="00B95667" w:rsidRDefault="00470BFC" w:rsidP="00C40BAA">
      <w:pPr>
        <w:pStyle w:val="2"/>
        <w:adjustRightInd w:val="0"/>
        <w:snapToGrid w:val="0"/>
        <w:spacing w:line="600" w:lineRule="exact"/>
        <w:ind w:firstLineChars="200" w:firstLine="640"/>
        <w:rPr>
          <w:rFonts w:ascii="楷体_GB2312" w:eastAsia="楷体_GB2312"/>
        </w:rPr>
      </w:pPr>
      <w:r w:rsidRPr="00B95667">
        <w:rPr>
          <w:rFonts w:ascii="楷体_GB2312" w:eastAsia="楷体_GB2312"/>
        </w:rPr>
        <w:t>（三）早读指导（一年级）</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1.组织英语早读，营造早读学习氛围的情况和效果。</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lastRenderedPageBreak/>
        <w:t>2.指导早读准时，引导英语学习的效果。</w:t>
      </w:r>
    </w:p>
    <w:p w:rsidR="00470BFC" w:rsidRPr="00C40BAA" w:rsidRDefault="00470BFC" w:rsidP="00C40BAA">
      <w:pPr>
        <w:pStyle w:val="2"/>
        <w:adjustRightInd w:val="0"/>
        <w:snapToGrid w:val="0"/>
        <w:spacing w:line="600" w:lineRule="exact"/>
        <w:ind w:firstLineChars="200" w:firstLine="640"/>
        <w:rPr>
          <w:color w:val="000000"/>
        </w:rPr>
      </w:pPr>
      <w:r w:rsidRPr="00C40BAA">
        <w:rPr>
          <w:color w:val="000000"/>
        </w:rPr>
        <w:t>3.与学生有很好的交流。</w:t>
      </w:r>
    </w:p>
    <w:p w:rsidR="0082374B" w:rsidRDefault="00470BFC" w:rsidP="005C3487">
      <w:pPr>
        <w:pStyle w:val="2"/>
        <w:adjustRightInd w:val="0"/>
        <w:snapToGrid w:val="0"/>
        <w:spacing w:line="600" w:lineRule="exact"/>
        <w:ind w:firstLineChars="200" w:firstLine="640"/>
      </w:pPr>
      <w:r w:rsidRPr="00C40BAA">
        <w:rPr>
          <w:rFonts w:ascii="黑体" w:eastAsia="黑体" w:hAnsi="黑体"/>
        </w:rPr>
        <w:t>七、</w:t>
      </w:r>
      <w:r w:rsidR="00441193" w:rsidRPr="00C40BAA">
        <w:rPr>
          <w:rFonts w:ascii="黑体" w:eastAsia="黑体" w:hAnsi="黑体" w:hint="eastAsia"/>
        </w:rPr>
        <w:t>本</w:t>
      </w:r>
      <w:r w:rsidR="00C94845" w:rsidRPr="00C40BAA">
        <w:rPr>
          <w:rFonts w:ascii="黑体" w:eastAsia="黑体" w:hAnsi="黑体" w:hint="eastAsia"/>
        </w:rPr>
        <w:t>条例</w:t>
      </w:r>
      <w:r w:rsidR="00441193" w:rsidRPr="00C40BAA">
        <w:rPr>
          <w:rFonts w:ascii="黑体" w:eastAsia="黑体" w:hAnsi="黑体" w:hint="eastAsia"/>
        </w:rPr>
        <w:t>自公布之日起执行</w:t>
      </w:r>
      <w:r w:rsidRPr="00C40BAA">
        <w:rPr>
          <w:rFonts w:ascii="黑体" w:eastAsia="黑体" w:hAnsi="黑体"/>
        </w:rPr>
        <w:t>。由教务处负责解释。</w:t>
      </w:r>
    </w:p>
    <w:sectPr w:rsidR="0082374B" w:rsidSect="007764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11B" w:rsidRDefault="00B4511B" w:rsidP="00470BFC">
      <w:r>
        <w:separator/>
      </w:r>
    </w:p>
  </w:endnote>
  <w:endnote w:type="continuationSeparator" w:id="1">
    <w:p w:rsidR="00B4511B" w:rsidRDefault="00B4511B" w:rsidP="00470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11B" w:rsidRDefault="00B4511B" w:rsidP="00470BFC">
      <w:r>
        <w:separator/>
      </w:r>
    </w:p>
  </w:footnote>
  <w:footnote w:type="continuationSeparator" w:id="1">
    <w:p w:rsidR="00B4511B" w:rsidRDefault="00B4511B" w:rsidP="00470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0BFC"/>
    <w:rsid w:val="000664B1"/>
    <w:rsid w:val="000E718B"/>
    <w:rsid w:val="001C3054"/>
    <w:rsid w:val="002E7502"/>
    <w:rsid w:val="0042224B"/>
    <w:rsid w:val="00441193"/>
    <w:rsid w:val="00470BFC"/>
    <w:rsid w:val="004F523A"/>
    <w:rsid w:val="005C3487"/>
    <w:rsid w:val="00605E67"/>
    <w:rsid w:val="006B2C70"/>
    <w:rsid w:val="0077270E"/>
    <w:rsid w:val="0077642A"/>
    <w:rsid w:val="0082374B"/>
    <w:rsid w:val="008E2A9B"/>
    <w:rsid w:val="00934A2A"/>
    <w:rsid w:val="00990CAD"/>
    <w:rsid w:val="009E71E8"/>
    <w:rsid w:val="00B42056"/>
    <w:rsid w:val="00B4511B"/>
    <w:rsid w:val="00B95667"/>
    <w:rsid w:val="00BD142E"/>
    <w:rsid w:val="00BD4DCF"/>
    <w:rsid w:val="00BF1C8D"/>
    <w:rsid w:val="00C40BAA"/>
    <w:rsid w:val="00C91AE0"/>
    <w:rsid w:val="00C91F45"/>
    <w:rsid w:val="00C94845"/>
    <w:rsid w:val="00CA301A"/>
    <w:rsid w:val="00D20526"/>
    <w:rsid w:val="00F13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BFC"/>
    <w:rPr>
      <w:sz w:val="18"/>
      <w:szCs w:val="18"/>
    </w:rPr>
  </w:style>
  <w:style w:type="paragraph" w:styleId="a4">
    <w:name w:val="footer"/>
    <w:basedOn w:val="a"/>
    <w:link w:val="Char0"/>
    <w:uiPriority w:val="99"/>
    <w:semiHidden/>
    <w:unhideWhenUsed/>
    <w:rsid w:val="00470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BFC"/>
    <w:rPr>
      <w:sz w:val="18"/>
      <w:szCs w:val="18"/>
    </w:rPr>
  </w:style>
  <w:style w:type="paragraph" w:styleId="2">
    <w:name w:val="Body Text Indent 2"/>
    <w:basedOn w:val="a"/>
    <w:link w:val="2Char"/>
    <w:uiPriority w:val="99"/>
    <w:qFormat/>
    <w:rsid w:val="00C40BAA"/>
    <w:pPr>
      <w:spacing w:line="480" w:lineRule="exact"/>
      <w:ind w:firstLine="570"/>
    </w:pPr>
    <w:rPr>
      <w:rFonts w:ascii="仿宋_GB2312" w:eastAsia="仿宋_GB2312" w:hAnsi="宋体" w:cs="仿宋_GB2312"/>
      <w:sz w:val="32"/>
      <w:szCs w:val="32"/>
    </w:rPr>
  </w:style>
  <w:style w:type="character" w:customStyle="1" w:styleId="2Char">
    <w:name w:val="正文文本缩进 2 Char"/>
    <w:basedOn w:val="a0"/>
    <w:link w:val="2"/>
    <w:uiPriority w:val="99"/>
    <w:rsid w:val="00C40BAA"/>
    <w:rPr>
      <w:rFonts w:ascii="仿宋_GB2312" w:eastAsia="仿宋_GB2312" w:hAnsi="宋体" w:cs="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344</Words>
  <Characters>1963</Characters>
  <Application>Microsoft Office Word</Application>
  <DocSecurity>0</DocSecurity>
  <Lines>16</Lines>
  <Paragraphs>4</Paragraphs>
  <ScaleCrop>false</ScaleCrop>
  <Company>微软中国</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20</cp:revision>
  <dcterms:created xsi:type="dcterms:W3CDTF">2021-05-14T03:22:00Z</dcterms:created>
  <dcterms:modified xsi:type="dcterms:W3CDTF">2021-08-30T06:51:00Z</dcterms:modified>
</cp:coreProperties>
</file>