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3D4" w:rsidRPr="00D3404B" w:rsidRDefault="00DB33D4" w:rsidP="00D3404B">
      <w:pPr>
        <w:adjustRightInd w:val="0"/>
        <w:spacing w:line="600" w:lineRule="exact"/>
        <w:jc w:val="center"/>
        <w:textAlignment w:val="baseline"/>
        <w:rPr>
          <w:rFonts w:ascii="方正小标宋简体" w:eastAsia="方正小标宋简体" w:hAnsi="Times New Roman" w:cs="Times New Roman"/>
          <w:b/>
          <w:kern w:val="0"/>
          <w:sz w:val="44"/>
          <w:szCs w:val="44"/>
        </w:rPr>
      </w:pPr>
      <w:r w:rsidRPr="00D3404B">
        <w:rPr>
          <w:rFonts w:ascii="方正小标宋简体" w:eastAsia="方正小标宋简体" w:hAnsi="Times New Roman" w:cs="Times New Roman"/>
          <w:b/>
          <w:kern w:val="0"/>
          <w:sz w:val="44"/>
          <w:szCs w:val="44"/>
        </w:rPr>
        <w:t>广州软件学院教师教学基本功竞赛办法</w:t>
      </w:r>
    </w:p>
    <w:p w:rsidR="00DB33D4" w:rsidRPr="00746E39" w:rsidRDefault="00DB33D4" w:rsidP="00DB33D4">
      <w:pPr>
        <w:snapToGrid w:val="0"/>
        <w:spacing w:line="360" w:lineRule="auto"/>
        <w:ind w:firstLineChars="200" w:firstLine="420"/>
        <w:rPr>
          <w:rFonts w:ascii="宋体" w:eastAsia="宋体" w:hAnsi="宋体"/>
          <w:szCs w:val="21"/>
        </w:rPr>
      </w:pP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为了加强我院的教师队伍建设，提高教师的教学水平和人才培养质量，学院决定每年举行一次广州大学华软软件学院教师教学基本功竞赛活动。为此，特制定本办法。</w:t>
      </w:r>
    </w:p>
    <w:p w:rsidR="00DB33D4" w:rsidRPr="007E0568" w:rsidRDefault="00DB33D4" w:rsidP="007E0568">
      <w:pPr>
        <w:adjustRightInd w:val="0"/>
        <w:snapToGrid w:val="0"/>
        <w:spacing w:line="600" w:lineRule="exact"/>
        <w:ind w:firstLineChars="200" w:firstLine="640"/>
        <w:rPr>
          <w:rFonts w:ascii="黑体" w:eastAsia="黑体" w:hAnsi="黑体"/>
          <w:bCs/>
          <w:sz w:val="32"/>
          <w:szCs w:val="32"/>
        </w:rPr>
      </w:pPr>
      <w:r w:rsidRPr="007E0568">
        <w:rPr>
          <w:rFonts w:ascii="黑体" w:eastAsia="黑体" w:hAnsi="黑体" w:hint="eastAsia"/>
          <w:bCs/>
          <w:sz w:val="32"/>
          <w:szCs w:val="32"/>
        </w:rPr>
        <w:t>一、参选条件</w:t>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新入职我院的教师；教学基本功测评中未达标的教师。</w:t>
      </w:r>
    </w:p>
    <w:p w:rsidR="00DB33D4" w:rsidRPr="007E0568" w:rsidRDefault="00DB33D4" w:rsidP="007E0568">
      <w:pPr>
        <w:adjustRightInd w:val="0"/>
        <w:snapToGrid w:val="0"/>
        <w:spacing w:line="600" w:lineRule="exact"/>
        <w:ind w:firstLineChars="200" w:firstLine="640"/>
        <w:rPr>
          <w:rFonts w:ascii="黑体" w:eastAsia="黑体" w:hAnsi="黑体"/>
          <w:bCs/>
          <w:sz w:val="32"/>
          <w:szCs w:val="32"/>
        </w:rPr>
      </w:pPr>
      <w:r w:rsidRPr="007E0568">
        <w:rPr>
          <w:rFonts w:ascii="黑体" w:eastAsia="黑体" w:hAnsi="黑体" w:hint="eastAsia"/>
          <w:bCs/>
          <w:sz w:val="32"/>
          <w:szCs w:val="32"/>
        </w:rPr>
        <w:t>二、教学基本功竞赛的基本内容</w:t>
      </w:r>
    </w:p>
    <w:p w:rsidR="00DB33D4" w:rsidRPr="00D3404B" w:rsidRDefault="00DB33D4" w:rsidP="00B9236C">
      <w:pPr>
        <w:adjustRightInd w:val="0"/>
        <w:snapToGrid w:val="0"/>
        <w:spacing w:line="600" w:lineRule="exact"/>
        <w:ind w:firstLineChars="200" w:firstLine="640"/>
        <w:rPr>
          <w:rFonts w:ascii="仿宋_GB2312" w:eastAsia="仿宋_GB2312" w:hAnsi="Times New Roman"/>
          <w:sz w:val="32"/>
          <w:szCs w:val="32"/>
        </w:rPr>
      </w:pPr>
      <w:r w:rsidRPr="00D3404B">
        <w:rPr>
          <w:rFonts w:ascii="仿宋_GB2312" w:eastAsia="仿宋_GB2312" w:hAnsi="宋体" w:hint="eastAsia"/>
          <w:sz w:val="32"/>
          <w:szCs w:val="32"/>
        </w:rPr>
        <w:t>1．理解课程标准、把握教材的基本功：</w:t>
      </w:r>
      <w:r w:rsidRPr="00D3404B">
        <w:rPr>
          <w:rFonts w:ascii="仿宋_GB2312" w:eastAsia="仿宋_GB2312" w:hAnsi="Times New Roman" w:hint="eastAsia"/>
          <w:sz w:val="32"/>
          <w:szCs w:val="32"/>
        </w:rPr>
        <w:t xml:space="preserve"> </w:t>
      </w:r>
    </w:p>
    <w:p w:rsidR="00DB33D4" w:rsidRPr="00D3404B" w:rsidRDefault="00DB33D4" w:rsidP="00B9236C">
      <w:pPr>
        <w:adjustRightInd w:val="0"/>
        <w:snapToGrid w:val="0"/>
        <w:spacing w:line="600" w:lineRule="exact"/>
        <w:ind w:firstLineChars="200" w:firstLine="640"/>
        <w:rPr>
          <w:rFonts w:ascii="仿宋_GB2312" w:eastAsia="仿宋_GB2312" w:hAnsi="Times New Roman"/>
          <w:sz w:val="32"/>
          <w:szCs w:val="32"/>
        </w:rPr>
      </w:pPr>
      <w:r w:rsidRPr="00D3404B">
        <w:rPr>
          <w:rFonts w:ascii="仿宋_GB2312" w:eastAsia="仿宋_GB2312" w:hAnsi="宋体" w:hint="eastAsia"/>
          <w:sz w:val="32"/>
          <w:szCs w:val="32"/>
        </w:rPr>
        <w:t>能够掌握课程标准对教学的目的、要求、内容、应重视的问题的要求，以及各个年级学生应具备的基本能力和基础知识的要求；能够理解单元或章节教材在教材体系中的地位和作用，准确确定教学重点和难点，选用恰当的教学方法和教学手段进行教学。</w:t>
      </w:r>
      <w:r w:rsidRPr="00D3404B">
        <w:rPr>
          <w:rFonts w:ascii="仿宋_GB2312" w:eastAsia="仿宋_GB2312" w:hAnsi="Times New Roman" w:hint="eastAsia"/>
          <w:sz w:val="32"/>
          <w:szCs w:val="32"/>
        </w:rPr>
        <w:t xml:space="preserve"> </w:t>
      </w:r>
    </w:p>
    <w:p w:rsidR="00DB33D4" w:rsidRPr="00D3404B" w:rsidRDefault="00DB33D4" w:rsidP="00B9236C">
      <w:pPr>
        <w:adjustRightInd w:val="0"/>
        <w:snapToGrid w:val="0"/>
        <w:spacing w:line="600" w:lineRule="exact"/>
        <w:ind w:firstLineChars="200" w:firstLine="640"/>
        <w:rPr>
          <w:rFonts w:ascii="仿宋_GB2312" w:eastAsia="仿宋_GB2312" w:hAnsi="Times New Roman"/>
          <w:sz w:val="32"/>
          <w:szCs w:val="32"/>
        </w:rPr>
      </w:pPr>
      <w:r w:rsidRPr="00D3404B">
        <w:rPr>
          <w:rFonts w:ascii="仿宋_GB2312" w:eastAsia="仿宋_GB2312" w:hAnsi="宋体" w:hint="eastAsia"/>
          <w:sz w:val="32"/>
          <w:szCs w:val="32"/>
        </w:rPr>
        <w:t>2．备课的基本功：</w:t>
      </w:r>
      <w:r w:rsidRPr="00D3404B">
        <w:rPr>
          <w:rFonts w:ascii="仿宋_GB2312" w:eastAsia="仿宋_GB2312" w:hAnsi="Times New Roman" w:hint="eastAsia"/>
          <w:sz w:val="32"/>
          <w:szCs w:val="32"/>
        </w:rPr>
        <w:t xml:space="preserve"> </w:t>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能够从教学实际出发认真构思教学方案，教学目标明确</w:t>
      </w:r>
      <w:r w:rsidRPr="00D3404B">
        <w:rPr>
          <w:rFonts w:ascii="仿宋_GB2312" w:eastAsia="仿宋_GB2312" w:hAnsi="Times New Roman" w:hint="eastAsia"/>
          <w:sz w:val="32"/>
          <w:szCs w:val="32"/>
        </w:rPr>
        <w:t>,</w:t>
      </w:r>
      <w:r w:rsidRPr="00D3404B">
        <w:rPr>
          <w:rFonts w:ascii="仿宋_GB2312" w:eastAsia="仿宋_GB2312" w:hAnsi="宋体" w:hint="eastAsia"/>
          <w:sz w:val="32"/>
          <w:szCs w:val="32"/>
        </w:rPr>
        <w:t>重点突出，条理清楚，认真设</w:t>
      </w:r>
      <w:proofErr w:type="gramStart"/>
      <w:r w:rsidRPr="00D3404B">
        <w:rPr>
          <w:rFonts w:ascii="仿宋_GB2312" w:eastAsia="仿宋_GB2312" w:hAnsi="宋体" w:hint="eastAsia"/>
          <w:sz w:val="32"/>
          <w:szCs w:val="32"/>
        </w:rPr>
        <w:t>疑</w:t>
      </w:r>
      <w:proofErr w:type="gramEnd"/>
      <w:r w:rsidRPr="00D3404B">
        <w:rPr>
          <w:rFonts w:ascii="仿宋_GB2312" w:eastAsia="仿宋_GB2312" w:hAnsi="宋体" w:hint="eastAsia"/>
          <w:sz w:val="32"/>
          <w:szCs w:val="32"/>
        </w:rPr>
        <w:t>；能够抓住要点，关注学科与学科之间、单元与单元之间以及课与课之间的联系与整合，教案字迹工整、规范。</w:t>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3．运用教学语言的基本功</w:t>
      </w:r>
    </w:p>
    <w:p w:rsidR="00DB33D4" w:rsidRPr="00D3404B" w:rsidRDefault="00DB33D4" w:rsidP="00B9236C">
      <w:pPr>
        <w:adjustRightInd w:val="0"/>
        <w:snapToGrid w:val="0"/>
        <w:spacing w:line="600" w:lineRule="exact"/>
        <w:ind w:firstLineChars="200" w:firstLine="640"/>
        <w:rPr>
          <w:rFonts w:ascii="仿宋_GB2312" w:eastAsia="仿宋_GB2312" w:hAnsi="Times New Roman"/>
          <w:sz w:val="32"/>
          <w:szCs w:val="32"/>
        </w:rPr>
      </w:pPr>
      <w:r w:rsidRPr="00D3404B">
        <w:rPr>
          <w:rFonts w:ascii="仿宋_GB2312" w:eastAsia="仿宋_GB2312" w:hAnsi="宋体" w:hint="eastAsia"/>
          <w:sz w:val="32"/>
          <w:szCs w:val="32"/>
        </w:rPr>
        <w:t>能够用标准的普通话进行教学，正确、清楚表达讲授内容，用词准确，条理清楚，节奏适宜，过渡自然，逻辑性强。</w:t>
      </w:r>
      <w:r w:rsidRPr="00D3404B">
        <w:rPr>
          <w:rFonts w:ascii="仿宋_GB2312" w:eastAsia="仿宋_GB2312" w:hAnsi="Times New Roman" w:hint="eastAsia"/>
          <w:sz w:val="32"/>
          <w:szCs w:val="32"/>
        </w:rPr>
        <w:t xml:space="preserve"> </w:t>
      </w:r>
    </w:p>
    <w:p w:rsidR="00DB33D4" w:rsidRPr="00D3404B" w:rsidRDefault="00DB33D4" w:rsidP="00B9236C">
      <w:pPr>
        <w:adjustRightInd w:val="0"/>
        <w:snapToGrid w:val="0"/>
        <w:spacing w:line="600" w:lineRule="exact"/>
        <w:ind w:firstLineChars="200" w:firstLine="640"/>
        <w:rPr>
          <w:rFonts w:ascii="仿宋_GB2312" w:eastAsia="仿宋_GB2312" w:hAnsi="Times New Roman"/>
          <w:sz w:val="32"/>
          <w:szCs w:val="32"/>
        </w:rPr>
      </w:pPr>
      <w:r w:rsidRPr="00D3404B">
        <w:rPr>
          <w:rFonts w:ascii="仿宋_GB2312" w:eastAsia="仿宋_GB2312" w:hAnsi="宋体" w:hint="eastAsia"/>
          <w:sz w:val="32"/>
          <w:szCs w:val="32"/>
        </w:rPr>
        <w:t>4．设计板书的基本功：</w:t>
      </w:r>
      <w:r w:rsidRPr="00D3404B">
        <w:rPr>
          <w:rFonts w:ascii="仿宋_GB2312" w:eastAsia="仿宋_GB2312" w:hAnsi="Times New Roman" w:hint="eastAsia"/>
          <w:sz w:val="32"/>
          <w:szCs w:val="32"/>
        </w:rPr>
        <w:t xml:space="preserve"> </w:t>
      </w:r>
    </w:p>
    <w:p w:rsidR="00DB33D4" w:rsidRPr="00D3404B" w:rsidRDefault="00DB33D4" w:rsidP="00B9236C">
      <w:pPr>
        <w:adjustRightInd w:val="0"/>
        <w:snapToGrid w:val="0"/>
        <w:spacing w:line="600" w:lineRule="exact"/>
        <w:ind w:firstLineChars="200" w:firstLine="640"/>
        <w:rPr>
          <w:rFonts w:ascii="仿宋_GB2312" w:eastAsia="仿宋_GB2312" w:hAnsi="Times New Roman"/>
          <w:sz w:val="32"/>
          <w:szCs w:val="32"/>
        </w:rPr>
      </w:pPr>
      <w:r w:rsidRPr="00D3404B">
        <w:rPr>
          <w:rFonts w:ascii="仿宋_GB2312" w:eastAsia="仿宋_GB2312" w:hAnsi="宋体" w:hint="eastAsia"/>
          <w:sz w:val="32"/>
          <w:szCs w:val="32"/>
        </w:rPr>
        <w:lastRenderedPageBreak/>
        <w:t>能够根据教学需要设计好板书；板书的目的明确，重点突出，条理分明，科学、合理、适用，书写美观。</w:t>
      </w:r>
      <w:r w:rsidRPr="00D3404B">
        <w:rPr>
          <w:rFonts w:ascii="仿宋_GB2312" w:eastAsia="仿宋_GB2312" w:hAnsi="Times New Roman" w:hint="eastAsia"/>
          <w:sz w:val="32"/>
          <w:szCs w:val="32"/>
        </w:rPr>
        <w:t xml:space="preserve"> </w:t>
      </w:r>
    </w:p>
    <w:p w:rsidR="00DB33D4" w:rsidRPr="00D3404B" w:rsidRDefault="00DB33D4" w:rsidP="00B9236C">
      <w:pPr>
        <w:adjustRightInd w:val="0"/>
        <w:snapToGrid w:val="0"/>
        <w:spacing w:line="600" w:lineRule="exact"/>
        <w:ind w:firstLineChars="200" w:firstLine="640"/>
        <w:rPr>
          <w:rFonts w:ascii="仿宋_GB2312" w:eastAsia="仿宋_GB2312" w:hAnsi="Times New Roman"/>
          <w:sz w:val="32"/>
          <w:szCs w:val="32"/>
        </w:rPr>
      </w:pPr>
      <w:r w:rsidRPr="00D3404B">
        <w:rPr>
          <w:rFonts w:ascii="仿宋_GB2312" w:eastAsia="仿宋_GB2312" w:hAnsi="宋体" w:hint="eastAsia"/>
          <w:sz w:val="32"/>
          <w:szCs w:val="32"/>
        </w:rPr>
        <w:t>5．应用现代教学技术的基本功：</w:t>
      </w:r>
      <w:r w:rsidRPr="00D3404B">
        <w:rPr>
          <w:rFonts w:ascii="仿宋_GB2312" w:eastAsia="仿宋_GB2312" w:hAnsi="Times New Roman" w:hint="eastAsia"/>
          <w:sz w:val="32"/>
          <w:szCs w:val="32"/>
        </w:rPr>
        <w:t xml:space="preserve"> </w:t>
      </w:r>
    </w:p>
    <w:p w:rsidR="00DB33D4" w:rsidRPr="00D3404B" w:rsidRDefault="00DB33D4" w:rsidP="00B9236C">
      <w:pPr>
        <w:adjustRightInd w:val="0"/>
        <w:snapToGrid w:val="0"/>
        <w:spacing w:line="600" w:lineRule="exact"/>
        <w:ind w:firstLineChars="200" w:firstLine="640"/>
        <w:rPr>
          <w:rFonts w:ascii="仿宋_GB2312" w:eastAsia="仿宋_GB2312" w:hAnsi="Times New Roman"/>
          <w:sz w:val="32"/>
          <w:szCs w:val="32"/>
        </w:rPr>
      </w:pPr>
      <w:r w:rsidRPr="00D3404B">
        <w:rPr>
          <w:rFonts w:ascii="仿宋_GB2312" w:eastAsia="仿宋_GB2312" w:hAnsi="宋体" w:hint="eastAsia"/>
          <w:sz w:val="32"/>
          <w:szCs w:val="32"/>
        </w:rPr>
        <w:t>能够熟练地使用现代化教学手段进行教学，操作规范；制作的教学课件内容简明扼要，重点突出，设计美观大方，形式生动活泼。</w:t>
      </w:r>
      <w:r w:rsidRPr="00D3404B">
        <w:rPr>
          <w:rFonts w:ascii="仿宋_GB2312" w:eastAsia="仿宋_GB2312" w:hAnsi="Times New Roman" w:hint="eastAsia"/>
          <w:sz w:val="32"/>
          <w:szCs w:val="32"/>
        </w:rPr>
        <w:t xml:space="preserve"> </w:t>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 xml:space="preserve">6． 组织教学的基本功： </w:t>
      </w:r>
    </w:p>
    <w:p w:rsidR="00DB33D4" w:rsidRPr="00D3404B" w:rsidRDefault="00DB33D4" w:rsidP="00B9236C">
      <w:pPr>
        <w:adjustRightInd w:val="0"/>
        <w:snapToGrid w:val="0"/>
        <w:spacing w:line="600" w:lineRule="exact"/>
        <w:ind w:firstLineChars="200" w:firstLine="640"/>
        <w:rPr>
          <w:rFonts w:ascii="仿宋_GB2312" w:eastAsia="仿宋_GB2312" w:hAnsi="Times New Roman"/>
          <w:sz w:val="32"/>
          <w:szCs w:val="32"/>
        </w:rPr>
      </w:pPr>
      <w:r w:rsidRPr="00D3404B">
        <w:rPr>
          <w:rFonts w:ascii="仿宋_GB2312" w:eastAsia="仿宋_GB2312" w:hAnsi="宋体" w:hint="eastAsia"/>
          <w:sz w:val="32"/>
          <w:szCs w:val="32"/>
        </w:rPr>
        <w:t>能够熟练地组织课堂教学活动，做到师生整堂课都能始终以饱满的热情进行教与学；能够积极地与学生互动，调动学生的学习积极性；能够注意观察学生的心理活动，随时调节课堂气氛，端正学生的学习状态。</w:t>
      </w:r>
      <w:r w:rsidRPr="00D3404B">
        <w:rPr>
          <w:rFonts w:ascii="仿宋_GB2312" w:eastAsia="仿宋_GB2312" w:hAnsi="Times New Roman" w:hint="eastAsia"/>
          <w:sz w:val="32"/>
          <w:szCs w:val="32"/>
        </w:rPr>
        <w:t xml:space="preserve"> </w:t>
      </w:r>
    </w:p>
    <w:p w:rsidR="00DB33D4" w:rsidRPr="007E0568" w:rsidRDefault="00DB33D4" w:rsidP="007E0568">
      <w:pPr>
        <w:tabs>
          <w:tab w:val="left" w:pos="5835"/>
        </w:tabs>
        <w:adjustRightInd w:val="0"/>
        <w:snapToGrid w:val="0"/>
        <w:spacing w:line="600" w:lineRule="exact"/>
        <w:ind w:firstLineChars="200" w:firstLine="640"/>
        <w:rPr>
          <w:rFonts w:ascii="黑体" w:eastAsia="黑体" w:hAnsi="黑体"/>
          <w:bCs/>
          <w:sz w:val="32"/>
          <w:szCs w:val="32"/>
        </w:rPr>
      </w:pPr>
      <w:r w:rsidRPr="007E0568">
        <w:rPr>
          <w:rFonts w:ascii="黑体" w:eastAsia="黑体" w:hAnsi="黑体" w:hint="eastAsia"/>
          <w:bCs/>
          <w:sz w:val="32"/>
          <w:szCs w:val="32"/>
        </w:rPr>
        <w:t>三、竞赛时间</w:t>
      </w:r>
      <w:r w:rsidR="00B9236C" w:rsidRPr="007E0568">
        <w:rPr>
          <w:rFonts w:ascii="黑体" w:eastAsia="黑体" w:hAnsi="黑体"/>
          <w:bCs/>
          <w:sz w:val="32"/>
          <w:szCs w:val="32"/>
        </w:rPr>
        <w:tab/>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原则上安排在每年的上半年，第</w:t>
      </w:r>
      <w:r w:rsidRPr="00D3404B">
        <w:rPr>
          <w:rFonts w:ascii="仿宋_GB2312" w:eastAsia="仿宋_GB2312" w:hAnsi="Times New Roman" w:hint="eastAsia"/>
          <w:sz w:val="32"/>
          <w:szCs w:val="32"/>
        </w:rPr>
        <w:t>3</w:t>
      </w:r>
      <w:r w:rsidRPr="00D3404B">
        <w:rPr>
          <w:rFonts w:ascii="仿宋_GB2312" w:eastAsia="仿宋_GB2312" w:hAnsi="宋体" w:hint="eastAsia"/>
          <w:sz w:val="32"/>
          <w:szCs w:val="32"/>
        </w:rPr>
        <w:t>—</w:t>
      </w:r>
      <w:r w:rsidRPr="00D3404B">
        <w:rPr>
          <w:rFonts w:ascii="仿宋_GB2312" w:eastAsia="仿宋_GB2312" w:hAnsi="Times New Roman" w:hint="eastAsia"/>
          <w:sz w:val="32"/>
          <w:szCs w:val="32"/>
        </w:rPr>
        <w:t>11</w:t>
      </w:r>
      <w:r w:rsidRPr="00D3404B">
        <w:rPr>
          <w:rFonts w:ascii="仿宋_GB2312" w:eastAsia="仿宋_GB2312" w:hAnsi="宋体" w:hint="eastAsia"/>
          <w:sz w:val="32"/>
          <w:szCs w:val="32"/>
        </w:rPr>
        <w:t>周：由各系、部组织拟参加测评的教师进行教学基本功测评，第</w:t>
      </w:r>
      <w:r w:rsidRPr="00D3404B">
        <w:rPr>
          <w:rFonts w:ascii="仿宋_GB2312" w:eastAsia="仿宋_GB2312" w:hAnsi="Times New Roman" w:hint="eastAsia"/>
          <w:sz w:val="32"/>
          <w:szCs w:val="32"/>
        </w:rPr>
        <w:t>12</w:t>
      </w:r>
      <w:r w:rsidRPr="00D3404B">
        <w:rPr>
          <w:rFonts w:ascii="仿宋_GB2312" w:eastAsia="仿宋_GB2312" w:hAnsi="宋体" w:hint="eastAsia"/>
          <w:sz w:val="32"/>
          <w:szCs w:val="32"/>
        </w:rPr>
        <w:t>周上报参加全院教学基本功竞赛的教师名单及材料。第</w:t>
      </w:r>
      <w:r w:rsidRPr="00D3404B">
        <w:rPr>
          <w:rFonts w:ascii="仿宋_GB2312" w:eastAsia="仿宋_GB2312" w:hAnsi="Times New Roman" w:hint="eastAsia"/>
          <w:sz w:val="32"/>
          <w:szCs w:val="32"/>
        </w:rPr>
        <w:t>13-14</w:t>
      </w:r>
      <w:r w:rsidRPr="00D3404B">
        <w:rPr>
          <w:rFonts w:ascii="仿宋_GB2312" w:eastAsia="仿宋_GB2312" w:hAnsi="宋体" w:hint="eastAsia"/>
          <w:sz w:val="32"/>
          <w:szCs w:val="32"/>
        </w:rPr>
        <w:t>周：学院教务处组织参赛教师进行教学基本功竞赛，并组织专家组现场评分。</w:t>
      </w:r>
    </w:p>
    <w:p w:rsidR="00DB33D4" w:rsidRPr="007E0568" w:rsidRDefault="00DB33D4" w:rsidP="007E0568">
      <w:pPr>
        <w:adjustRightInd w:val="0"/>
        <w:snapToGrid w:val="0"/>
        <w:spacing w:line="600" w:lineRule="exact"/>
        <w:ind w:firstLineChars="200" w:firstLine="640"/>
        <w:rPr>
          <w:rFonts w:ascii="黑体" w:eastAsia="黑体" w:hAnsi="黑体"/>
          <w:bCs/>
          <w:sz w:val="32"/>
          <w:szCs w:val="32"/>
        </w:rPr>
      </w:pPr>
      <w:r w:rsidRPr="007E0568">
        <w:rPr>
          <w:rFonts w:ascii="黑体" w:eastAsia="黑体" w:hAnsi="黑体" w:hint="eastAsia"/>
          <w:bCs/>
          <w:sz w:val="32"/>
          <w:szCs w:val="32"/>
        </w:rPr>
        <w:t>四、组织程序</w:t>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1．教务处公布竞赛通知，各系（部）以单位组织教师教学基本功测评活动，原则上要求各系部利用周二、周四的业务学习时间，集中安排测评。</w:t>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2．各系、部在测评的基础上，择优选拔、推荐</w:t>
      </w:r>
      <w:r w:rsidRPr="00D3404B">
        <w:rPr>
          <w:rFonts w:ascii="仿宋_GB2312" w:eastAsia="仿宋_GB2312" w:hAnsi="Times New Roman" w:hint="eastAsia"/>
          <w:sz w:val="32"/>
          <w:szCs w:val="32"/>
        </w:rPr>
        <w:t>1</w:t>
      </w:r>
      <w:r w:rsidRPr="00D3404B">
        <w:rPr>
          <w:rFonts w:ascii="仿宋_GB2312" w:eastAsia="仿宋_GB2312" w:hAnsi="宋体" w:hint="eastAsia"/>
          <w:sz w:val="32"/>
          <w:szCs w:val="32"/>
        </w:rPr>
        <w:t>名教师，参加全院教师基本功竞赛。</w:t>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lastRenderedPageBreak/>
        <w:t>3．全院教学基本功竞赛活动由教务处负责组织安排。参赛教师面向测评小组讲课</w:t>
      </w:r>
      <w:r w:rsidRPr="00D3404B">
        <w:rPr>
          <w:rFonts w:ascii="仿宋_GB2312" w:eastAsia="仿宋_GB2312" w:hAnsi="Times New Roman" w:hint="eastAsia"/>
          <w:sz w:val="32"/>
          <w:szCs w:val="32"/>
        </w:rPr>
        <w:t>30</w:t>
      </w:r>
      <w:r w:rsidRPr="00D3404B">
        <w:rPr>
          <w:rFonts w:ascii="仿宋_GB2312" w:eastAsia="仿宋_GB2312" w:hAnsi="宋体" w:hint="eastAsia"/>
          <w:sz w:val="32"/>
          <w:szCs w:val="32"/>
        </w:rPr>
        <w:t>分钟，由评委现场打分，将各评委对参赛选手的评议分值，在去掉一个最高分和一个最低分后，计算出参赛选手的平均分值，依据平均得分值的高低排出名次，确定最终获奖者。</w:t>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4．教务处对评选结果进行公示，在公示无异议后报学院办公会议审定并最终确定公布。</w:t>
      </w:r>
    </w:p>
    <w:p w:rsidR="00DB33D4" w:rsidRPr="007E0568" w:rsidRDefault="00DB33D4" w:rsidP="007E0568">
      <w:pPr>
        <w:adjustRightInd w:val="0"/>
        <w:snapToGrid w:val="0"/>
        <w:spacing w:line="600" w:lineRule="exact"/>
        <w:ind w:firstLineChars="200" w:firstLine="640"/>
        <w:rPr>
          <w:rFonts w:ascii="黑体" w:eastAsia="黑体" w:hAnsi="黑体"/>
          <w:bCs/>
          <w:sz w:val="32"/>
          <w:szCs w:val="32"/>
        </w:rPr>
      </w:pPr>
      <w:r w:rsidRPr="007E0568">
        <w:rPr>
          <w:rFonts w:ascii="黑体" w:eastAsia="黑体" w:hAnsi="黑体" w:hint="eastAsia"/>
          <w:bCs/>
          <w:sz w:val="32"/>
          <w:szCs w:val="32"/>
        </w:rPr>
        <w:t>五、奖励办法</w:t>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1．一等奖</w:t>
      </w:r>
      <w:r w:rsidRPr="00D3404B">
        <w:rPr>
          <w:rFonts w:ascii="仿宋_GB2312" w:eastAsia="仿宋_GB2312" w:hAnsi="Times New Roman" w:hint="eastAsia"/>
          <w:sz w:val="32"/>
          <w:szCs w:val="32"/>
        </w:rPr>
        <w:t>1</w:t>
      </w:r>
      <w:r w:rsidRPr="00D3404B">
        <w:rPr>
          <w:rFonts w:ascii="仿宋_GB2312" w:eastAsia="仿宋_GB2312" w:hAnsi="宋体" w:hint="eastAsia"/>
          <w:sz w:val="32"/>
          <w:szCs w:val="32"/>
        </w:rPr>
        <w:t>名、二等奖</w:t>
      </w:r>
      <w:r w:rsidRPr="00D3404B">
        <w:rPr>
          <w:rFonts w:ascii="仿宋_GB2312" w:eastAsia="仿宋_GB2312" w:hAnsi="Times New Roman" w:hint="eastAsia"/>
          <w:sz w:val="32"/>
          <w:szCs w:val="32"/>
        </w:rPr>
        <w:t>2</w:t>
      </w:r>
      <w:r w:rsidRPr="00D3404B">
        <w:rPr>
          <w:rFonts w:ascii="仿宋_GB2312" w:eastAsia="仿宋_GB2312" w:hAnsi="宋体" w:hint="eastAsia"/>
          <w:sz w:val="32"/>
          <w:szCs w:val="32"/>
        </w:rPr>
        <w:t>名、三等奖</w:t>
      </w:r>
      <w:r w:rsidRPr="00D3404B">
        <w:rPr>
          <w:rFonts w:ascii="仿宋_GB2312" w:eastAsia="仿宋_GB2312" w:hAnsi="Times New Roman" w:hint="eastAsia"/>
          <w:sz w:val="32"/>
          <w:szCs w:val="32"/>
        </w:rPr>
        <w:t>3</w:t>
      </w:r>
      <w:r w:rsidRPr="00D3404B">
        <w:rPr>
          <w:rFonts w:ascii="仿宋_GB2312" w:eastAsia="仿宋_GB2312" w:hAnsi="宋体" w:hint="eastAsia"/>
          <w:sz w:val="32"/>
          <w:szCs w:val="32"/>
        </w:rPr>
        <w:t>名</w:t>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2．学院对获奖老师予以物质与精神奖励，分别授予荣誉证书，并给予一等奖</w:t>
      </w:r>
      <w:r w:rsidRPr="00D3404B">
        <w:rPr>
          <w:rFonts w:ascii="仿宋_GB2312" w:eastAsia="仿宋_GB2312" w:hAnsi="Times New Roman" w:hint="eastAsia"/>
          <w:sz w:val="32"/>
          <w:szCs w:val="32"/>
        </w:rPr>
        <w:t>3</w:t>
      </w:r>
      <w:r w:rsidRPr="00D3404B">
        <w:rPr>
          <w:rFonts w:ascii="仿宋_GB2312" w:eastAsia="仿宋_GB2312" w:hAnsi="宋体" w:hint="eastAsia"/>
          <w:sz w:val="32"/>
          <w:szCs w:val="32"/>
        </w:rPr>
        <w:t>000元，二等奖</w:t>
      </w:r>
      <w:r w:rsidRPr="00D3404B">
        <w:rPr>
          <w:rFonts w:ascii="仿宋_GB2312" w:eastAsia="仿宋_GB2312" w:hAnsi="Times New Roman" w:hint="eastAsia"/>
          <w:sz w:val="32"/>
          <w:szCs w:val="32"/>
        </w:rPr>
        <w:t>2000</w:t>
      </w:r>
      <w:r w:rsidRPr="00D3404B">
        <w:rPr>
          <w:rFonts w:ascii="仿宋_GB2312" w:eastAsia="仿宋_GB2312" w:hAnsi="宋体" w:hint="eastAsia"/>
          <w:sz w:val="32"/>
          <w:szCs w:val="32"/>
        </w:rPr>
        <w:t>元，三等奖</w:t>
      </w:r>
      <w:r w:rsidRPr="00D3404B">
        <w:rPr>
          <w:rFonts w:ascii="仿宋_GB2312" w:eastAsia="仿宋_GB2312" w:hAnsi="Times New Roman" w:hint="eastAsia"/>
          <w:sz w:val="32"/>
          <w:szCs w:val="32"/>
        </w:rPr>
        <w:t>1000</w:t>
      </w:r>
      <w:r w:rsidRPr="00D3404B">
        <w:rPr>
          <w:rFonts w:ascii="仿宋_GB2312" w:eastAsia="仿宋_GB2312" w:hAnsi="宋体" w:hint="eastAsia"/>
          <w:sz w:val="32"/>
          <w:szCs w:val="32"/>
        </w:rPr>
        <w:t>元的奖金奖励。</w:t>
      </w:r>
    </w:p>
    <w:p w:rsidR="00DB33D4" w:rsidRPr="00D3404B" w:rsidRDefault="00DB33D4" w:rsidP="00B9236C">
      <w:pPr>
        <w:adjustRightInd w:val="0"/>
        <w:snapToGrid w:val="0"/>
        <w:spacing w:line="600" w:lineRule="exact"/>
        <w:ind w:firstLineChars="200" w:firstLine="640"/>
        <w:rPr>
          <w:rFonts w:ascii="仿宋_GB2312" w:eastAsia="仿宋_GB2312" w:hAnsi="宋体"/>
          <w:sz w:val="32"/>
          <w:szCs w:val="32"/>
        </w:rPr>
      </w:pPr>
      <w:r w:rsidRPr="00D3404B">
        <w:rPr>
          <w:rFonts w:ascii="仿宋_GB2312" w:eastAsia="仿宋_GB2312" w:hAnsi="宋体" w:hint="eastAsia"/>
          <w:sz w:val="32"/>
          <w:szCs w:val="32"/>
        </w:rPr>
        <w:t>3．获奖老师的获奖情况计入获奖者的人事考核档案，作为年终考核绩效的重要依据。</w:t>
      </w:r>
    </w:p>
    <w:p w:rsidR="00DB33D4" w:rsidRPr="007E0568" w:rsidRDefault="00DB33D4" w:rsidP="007E0568">
      <w:pPr>
        <w:adjustRightInd w:val="0"/>
        <w:snapToGrid w:val="0"/>
        <w:spacing w:line="600" w:lineRule="exact"/>
        <w:ind w:firstLineChars="200" w:firstLine="640"/>
        <w:rPr>
          <w:rFonts w:ascii="黑体" w:eastAsia="黑体" w:hAnsi="黑体"/>
          <w:bCs/>
          <w:sz w:val="32"/>
          <w:szCs w:val="32"/>
        </w:rPr>
      </w:pPr>
      <w:r w:rsidRPr="007E0568">
        <w:rPr>
          <w:rFonts w:ascii="黑体" w:eastAsia="黑体" w:hAnsi="黑体" w:hint="eastAsia"/>
          <w:bCs/>
          <w:sz w:val="32"/>
          <w:szCs w:val="32"/>
        </w:rPr>
        <w:t>六、</w:t>
      </w:r>
      <w:bookmarkStart w:id="0" w:name="_GoBack"/>
      <w:r w:rsidR="003B2D77" w:rsidRPr="003B2D77">
        <w:rPr>
          <w:rFonts w:ascii="黑体" w:eastAsia="黑体" w:hAnsi="黑体" w:hint="eastAsia"/>
          <w:bCs/>
          <w:sz w:val="32"/>
          <w:szCs w:val="32"/>
        </w:rPr>
        <w:t>本办法自2021年9月执行</w:t>
      </w:r>
      <w:r w:rsidRPr="007E0568">
        <w:rPr>
          <w:rFonts w:ascii="黑体" w:eastAsia="黑体" w:hAnsi="黑体" w:hint="eastAsia"/>
          <w:bCs/>
          <w:sz w:val="32"/>
          <w:szCs w:val="32"/>
        </w:rPr>
        <w:t>，其解释权属于教务处。</w:t>
      </w:r>
    </w:p>
    <w:bookmarkEnd w:id="0"/>
    <w:p w:rsidR="00DB33D4" w:rsidRPr="00D3404B" w:rsidRDefault="00DB33D4" w:rsidP="00B9236C">
      <w:pPr>
        <w:adjustRightInd w:val="0"/>
        <w:snapToGrid w:val="0"/>
        <w:spacing w:line="600" w:lineRule="exact"/>
        <w:ind w:firstLineChars="200" w:firstLine="643"/>
        <w:rPr>
          <w:rFonts w:ascii="仿宋_GB2312" w:eastAsia="仿宋_GB2312" w:hAnsi="宋体"/>
          <w:b/>
          <w:bCs/>
          <w:sz w:val="32"/>
          <w:szCs w:val="32"/>
        </w:rPr>
      </w:pPr>
    </w:p>
    <w:p w:rsidR="00DB33D4" w:rsidRPr="00D3404B" w:rsidRDefault="00DB33D4" w:rsidP="00B9236C">
      <w:pPr>
        <w:snapToGrid w:val="0"/>
        <w:spacing w:line="600" w:lineRule="exact"/>
        <w:rPr>
          <w:rFonts w:ascii="仿宋_GB2312" w:eastAsia="仿宋_GB2312" w:hAnsi="宋体"/>
          <w:sz w:val="32"/>
          <w:szCs w:val="32"/>
        </w:rPr>
      </w:pPr>
    </w:p>
    <w:sectPr w:rsidR="00DB33D4" w:rsidRPr="00D340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46" w:rsidRDefault="00B04746" w:rsidP="00D3404B">
      <w:r>
        <w:separator/>
      </w:r>
    </w:p>
  </w:endnote>
  <w:endnote w:type="continuationSeparator" w:id="0">
    <w:p w:rsidR="00B04746" w:rsidRDefault="00B04746" w:rsidP="00D34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46" w:rsidRDefault="00B04746" w:rsidP="00D3404B">
      <w:r>
        <w:separator/>
      </w:r>
    </w:p>
  </w:footnote>
  <w:footnote w:type="continuationSeparator" w:id="0">
    <w:p w:rsidR="00B04746" w:rsidRDefault="00B04746" w:rsidP="00D340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3D4"/>
    <w:rsid w:val="003B2D77"/>
    <w:rsid w:val="00567F9E"/>
    <w:rsid w:val="007E0568"/>
    <w:rsid w:val="00935F88"/>
    <w:rsid w:val="00B04746"/>
    <w:rsid w:val="00B9236C"/>
    <w:rsid w:val="00D3404B"/>
    <w:rsid w:val="00DB3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0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404B"/>
    <w:rPr>
      <w:sz w:val="18"/>
      <w:szCs w:val="18"/>
    </w:rPr>
  </w:style>
  <w:style w:type="paragraph" w:styleId="a4">
    <w:name w:val="footer"/>
    <w:basedOn w:val="a"/>
    <w:link w:val="Char0"/>
    <w:uiPriority w:val="99"/>
    <w:unhideWhenUsed/>
    <w:rsid w:val="00D3404B"/>
    <w:pPr>
      <w:tabs>
        <w:tab w:val="center" w:pos="4153"/>
        <w:tab w:val="right" w:pos="8306"/>
      </w:tabs>
      <w:snapToGrid w:val="0"/>
      <w:jc w:val="left"/>
    </w:pPr>
    <w:rPr>
      <w:sz w:val="18"/>
      <w:szCs w:val="18"/>
    </w:rPr>
  </w:style>
  <w:style w:type="character" w:customStyle="1" w:styleId="Char0">
    <w:name w:val="页脚 Char"/>
    <w:basedOn w:val="a0"/>
    <w:link w:val="a4"/>
    <w:uiPriority w:val="99"/>
    <w:rsid w:val="00D3404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3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40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404B"/>
    <w:rPr>
      <w:sz w:val="18"/>
      <w:szCs w:val="18"/>
    </w:rPr>
  </w:style>
  <w:style w:type="paragraph" w:styleId="a4">
    <w:name w:val="footer"/>
    <w:basedOn w:val="a"/>
    <w:link w:val="Char0"/>
    <w:uiPriority w:val="99"/>
    <w:unhideWhenUsed/>
    <w:rsid w:val="00D3404B"/>
    <w:pPr>
      <w:tabs>
        <w:tab w:val="center" w:pos="4153"/>
        <w:tab w:val="right" w:pos="8306"/>
      </w:tabs>
      <w:snapToGrid w:val="0"/>
      <w:jc w:val="left"/>
    </w:pPr>
    <w:rPr>
      <w:sz w:val="18"/>
      <w:szCs w:val="18"/>
    </w:rPr>
  </w:style>
  <w:style w:type="character" w:customStyle="1" w:styleId="Char0">
    <w:name w:val="页脚 Char"/>
    <w:basedOn w:val="a0"/>
    <w:link w:val="a4"/>
    <w:uiPriority w:val="99"/>
    <w:rsid w:val="00D3404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183</Words>
  <Characters>1048</Characters>
  <Application>Microsoft Office Word</Application>
  <DocSecurity>0</DocSecurity>
  <Lines>8</Lines>
  <Paragraphs>2</Paragraphs>
  <ScaleCrop>false</ScaleCrop>
  <Company>微软中国</Company>
  <LinksUpToDate>false</LinksUpToDate>
  <CharactersWithSpaces>1229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6</cp:revision>
  <dcterms:created xsi:type="dcterms:W3CDTF">2021-06-28T07:11:00Z</dcterms:created>
  <dcterms:modified xsi:type="dcterms:W3CDTF">2021-07-10T07:42:00Z</dcterms:modified>
</cp:coreProperties>
</file>