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12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TW"/>
        </w:rPr>
        <w:t>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表20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jc w:val="center"/>
        <w:rPr>
          <w:rFonts w:ascii="等线" w:hAnsi="等线"/>
          <w:b/>
          <w:bCs/>
          <w:sz w:val="40"/>
          <w:szCs w:val="40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广州软件学院2</w:t>
      </w:r>
      <w:r>
        <w:rPr>
          <w:rFonts w:ascii="仿宋" w:hAnsi="仿宋" w:eastAsia="仿宋"/>
          <w:b/>
          <w:bCs/>
          <w:sz w:val="32"/>
          <w:szCs w:val="32"/>
        </w:rPr>
        <w:t>02</w:t>
      </w:r>
      <w:r>
        <w:rPr>
          <w:rFonts w:hint="eastAsia" w:ascii="仿宋" w:hAnsi="仿宋" w:eastAsia="仿宋"/>
          <w:b/>
          <w:bCs/>
          <w:sz w:val="32"/>
          <w:szCs w:val="32"/>
        </w:rPr>
        <w:t>4届毕业生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“</w:t>
      </w:r>
      <w:r>
        <w:rPr>
          <w:rFonts w:hint="eastAsia" w:ascii="仿宋" w:hAnsi="仿宋" w:eastAsia="仿宋"/>
          <w:b/>
          <w:bCs/>
          <w:sz w:val="32"/>
          <w:szCs w:val="32"/>
        </w:rPr>
        <w:t>智慧团建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”</w:t>
      </w:r>
      <w:r>
        <w:rPr>
          <w:rFonts w:hint="eastAsia" w:ascii="仿宋" w:hAnsi="仿宋" w:eastAsia="仿宋"/>
          <w:b/>
          <w:bCs/>
          <w:sz w:val="32"/>
          <w:szCs w:val="32"/>
        </w:rPr>
        <w:t>转接操作指南</w:t>
      </w:r>
    </w:p>
    <w:p>
      <w:pPr>
        <w:pStyle w:val="5"/>
        <w:spacing w:line="360" w:lineRule="auto"/>
        <w:ind w:firstLine="556"/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（一）广东“智慧团建”系统团组织关系转接操作流程如下：</w:t>
      </w:r>
      <w:bookmarkStart w:id="1" w:name="_GoBack"/>
      <w:bookmarkEnd w:id="1"/>
    </w:p>
    <w:p>
      <w:pPr>
        <w:widowControl/>
        <w:spacing w:line="360" w:lineRule="auto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drawing>
          <wp:inline distT="0" distB="0" distL="114300" distR="114300">
            <wp:extent cx="5342890" cy="1112520"/>
            <wp:effectExtent l="0" t="0" r="10160" b="11430"/>
            <wp:docPr id="6" name="图片 6" descr="C:\Users\admin\Desktop\图片1.png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\Desktop\图片1.png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289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Toc15149"/>
      <w:r>
        <w:rPr>
          <w:rFonts w:hint="eastAsia" w:ascii="方正仿宋_GBK" w:hAnsi="方正仿宋_GBK" w:eastAsia="方正仿宋_GBK" w:cs="方正仿宋_GBK"/>
          <w:sz w:val="32"/>
          <w:szCs w:val="32"/>
        </w:rPr>
        <w:t>（二）详细流程说明</w:t>
      </w:r>
      <w:bookmarkEnd w:id="0"/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1.团员自主转出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一般情况下，团组织关系转接由团员本人发起申请，具体操作如下：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登录到团员移动端首页，选择“组织关系转接”，准确输入团支部简称，准确填写转出原因、团员去向（学习工作单位、地址等），提交即可。</w:t>
      </w:r>
    </w:p>
    <w:p>
      <w:pPr>
        <w:spacing w:line="360" w:lineRule="auto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drawing>
          <wp:inline distT="0" distB="0" distL="114300" distR="114300">
            <wp:extent cx="5295900" cy="2978785"/>
            <wp:effectExtent l="0" t="0" r="0" b="12065"/>
            <wp:docPr id="14" name="图片 7" descr="C:\Users\admin\Desktop\原图_副本.png原图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C:\Users\admin\Desktop\原图_副本.png原图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97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提交成功后，由转出团支部手动审核，再依次流转到转出团支部直接上级团组织、转入团支部、转入团支部直接上级团组织审核。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系统首页点击“我的消息”，转接页面中点击“组织关系转接记录”，可以查看转接审核状态，团员可以联系相关团组织，提醒相关团组织负责人审核。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2.团支部代团员转出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团支部选择“组织关系转接”→“发起转接”从列表选择一个或多个团员，点击“申请转出团员”，选择或准确填写转入团支部的简称，准确填写团员去向（学习工作单位、地址等）提交即可。</w:t>
      </w:r>
    </w:p>
    <w:p>
      <w:pPr>
        <w:pStyle w:val="2"/>
        <w:spacing w:line="360" w:lineRule="auto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drawing>
          <wp:inline distT="0" distB="0" distL="114300" distR="114300">
            <wp:extent cx="5267960" cy="2206625"/>
            <wp:effectExtent l="0" t="0" r="8890" b="3175"/>
            <wp:docPr id="1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提交成功后，由转出团支部直接上级团组织、转入团支部、转入团支部直接上级团组织审核。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注:若选中的团员当前有未结束的接转流程或者未缴清转接前应缴团费，则不能发起团组织关系转接。 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3.组织关系转接审核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团员或团组织发起的团组织关系转接申请提交后，需要转出团支部、转入团支部及两个团支部各自的直接上级团组织审核通过。具体审核操作流程如下: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（1）流程节点中的组织，点击“组织关系转接”→“待审核”，列表中可以看到须本组织审核的转接业务。 </w:t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（2）选中一名或多名团员，点击“审核”，可选择同意（或退回）转接申请，则申请流转到下一节点（或退回申请，结束转接流程）</w:t>
      </w:r>
    </w:p>
    <w:p>
      <w:pPr>
        <w:spacing w:line="360" w:lineRule="auto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drawing>
          <wp:inline distT="0" distB="0" distL="114300" distR="114300">
            <wp:extent cx="4836795" cy="3533775"/>
            <wp:effectExtent l="0" t="0" r="1905" b="9525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679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点击团员名字，可查看该团员的转接业务详情（如下图），以及个人资料。</w:t>
      </w:r>
    </w:p>
    <w:p>
      <w:pPr>
        <w:spacing w:line="360" w:lineRule="auto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drawing>
          <wp:inline distT="0" distB="0" distL="114300" distR="114300">
            <wp:extent cx="5594985" cy="2764790"/>
            <wp:effectExtent l="0" t="0" r="5715" b="16510"/>
            <wp:docPr id="17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276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line="360" w:lineRule="auto"/>
        <w:ind w:firstLine="6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注：团组织的运营者还可以在微信企业号“广东共青团”中直接审核，方便快捷。</w:t>
      </w:r>
    </w:p>
    <w:p>
      <w:pPr>
        <w:jc w:val="center"/>
        <w:rPr>
          <w:rFonts w:hint="eastAsia" w:ascii="仿宋" w:hAnsi="仿宋" w:eastAsia="仿宋"/>
          <w:sz w:val="30"/>
          <w:szCs w:val="30"/>
          <w:lang w:eastAsia="zh-CN"/>
        </w:rPr>
      </w:pPr>
    </w:p>
    <w:p>
      <w:pPr>
        <w:jc w:val="center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drawing>
          <wp:inline distT="0" distB="0" distL="114300" distR="114300">
            <wp:extent cx="3762375" cy="3217545"/>
            <wp:effectExtent l="0" t="0" r="9525" b="1905"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21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3NzI2MmYyZjM0NDIyZjE2ZGNhYTcwZTI4MjY0MzMifQ=="/>
  </w:docVars>
  <w:rsids>
    <w:rsidRoot w:val="00000000"/>
    <w:rsid w:val="02122801"/>
    <w:rsid w:val="4E1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List Paragraph"/>
    <w:basedOn w:val="1"/>
    <w:autoRedefine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2024-05-05T19:12:00Z</dcterms:created>
  <dc:creator>ly</dc:creator>
  <cp:lastModifiedBy>明月别枝.</cp:lastModifiedBy>
  <dcterms:modified xsi:type="dcterms:W3CDTF">2024-05-16T19:22:48Z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0D14773F23484EEFBBFC46F22D7942F9_13</vt:lpwstr>
  </property>
</Properties>
</file>