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附件3</w:t>
      </w:r>
    </w:p>
    <w:p>
      <w:pPr>
        <w:adjustRightInd w:val="0"/>
        <w:snapToGrid w:val="0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202</w:t>
      </w:r>
      <w:r>
        <w:rPr>
          <w:rFonts w:ascii="宋体" w:hAnsi="宋体"/>
          <w:b/>
          <w:kern w:val="0"/>
          <w:sz w:val="44"/>
          <w:szCs w:val="44"/>
        </w:rPr>
        <w:t>2</w:t>
      </w:r>
      <w:r>
        <w:rPr>
          <w:rFonts w:hint="eastAsia" w:ascii="宋体" w:hAnsi="宋体"/>
          <w:b/>
          <w:kern w:val="0"/>
          <w:sz w:val="44"/>
          <w:szCs w:val="44"/>
        </w:rPr>
        <w:t>年度广州软件学院系级学生会</w:t>
      </w:r>
    </w:p>
    <w:p>
      <w:pPr>
        <w:adjustRightInd w:val="0"/>
        <w:snapToGrid w:val="0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工作情况自评表</w:t>
      </w:r>
      <w:r>
        <w:rPr>
          <w:rFonts w:hint="eastAsia" w:ascii="宋体" w:hAnsi="宋体"/>
          <w:b/>
          <w:sz w:val="44"/>
          <w:szCs w:val="44"/>
        </w:rPr>
        <w:t xml:space="preserve"> </w:t>
      </w:r>
    </w:p>
    <w:p>
      <w:pPr>
        <w:adjustRightInd w:val="0"/>
        <w:snapToGrid w:val="0"/>
        <w:jc w:val="center"/>
        <w:rPr>
          <w:rFonts w:ascii="仿宋" w:hAnsi="仿宋" w:eastAsia="仿宋" w:cs="仿宋"/>
          <w:sz w:val="32"/>
          <w:szCs w:val="32"/>
        </w:rPr>
      </w:pPr>
    </w:p>
    <w:tbl>
      <w:tblPr>
        <w:tblStyle w:val="2"/>
        <w:tblW w:w="10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1255"/>
        <w:gridCol w:w="1474"/>
        <w:gridCol w:w="5137"/>
        <w:gridCol w:w="689"/>
        <w:gridCol w:w="515"/>
        <w:gridCol w:w="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考核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类别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考核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考核细则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分值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自评分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考评分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2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思想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建设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（6分）</w:t>
            </w: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思想政治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引领方面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系学生会鼓励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积极向团组织靠拢，团员比例100%。——核对数据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yellow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系学生会鼓励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积极向党组织靠拢，递交入党申请书比例80%。——核对数据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yellow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2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组织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建设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（2</w:t>
            </w: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分）</w:t>
            </w: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制度建设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方面</w:t>
            </w:r>
          </w:p>
        </w:tc>
        <w:tc>
          <w:tcPr>
            <w:tcW w:w="51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系学生会章程完善，组织健全，分工明确，人员精简，职责清晰，有规范的学生会工作制度，考勤制度、例会制度、财务制度、文档管理制度等，并形成相应记录。</w:t>
            </w:r>
          </w:p>
          <w:p>
            <w:pPr>
              <w:spacing w:line="320" w:lineRule="exact"/>
              <w:jc w:val="left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——检查相关制度的</w:t>
            </w: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</w:rPr>
              <w:t>修订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和执行情况。</w:t>
            </w:r>
          </w:p>
        </w:tc>
        <w:tc>
          <w:tcPr>
            <w:tcW w:w="6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5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有健全的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选拔、考核奖惩制度，定期开展工作人员培训班，主动联系班级、宿舍、学生。——列举相关制度、数据。</w:t>
            </w:r>
          </w:p>
        </w:tc>
        <w:tc>
          <w:tcPr>
            <w:tcW w:w="6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5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培养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方面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系学生会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在学生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技能大赛中成绩优秀。——列举数据。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系学生会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获得学生奖项多——列举数据。——列举数据。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系学生会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挂科率、旷课率、违纪处分率低。——列举数据。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加分项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bookmarkStart w:id="0" w:name="_Hlk4615661"/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积极承办学校学生会活动，例如红旗学生会、学生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技能大赛。</w:t>
            </w:r>
            <w:bookmarkEnd w:id="0"/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——列举承办活动及数量。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11</w:t>
            </w:r>
          </w:p>
        </w:tc>
        <w:tc>
          <w:tcPr>
            <w:tcW w:w="12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学风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建设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（25分）</w:t>
            </w: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学风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促进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建立学风纠察队，对学生的早读、上课和学习情况进行检查、通报。——列举方法和成效。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12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建学风研究促进会，定期开展学风调研，举行学风座谈会，建立考级、考研、考证和专业竞赛的了解渠道。对特殊群体进行学业精准帮扶：新生的专业启蒙，挂科学生的学业帮扶，建立学风建设精品项目——列举调研报告、促学风促专业的精品活动和成效。</w:t>
            </w:r>
          </w:p>
        </w:tc>
        <w:tc>
          <w:tcPr>
            <w:tcW w:w="6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5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13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学术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竞赛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系学生会开展并协助系属专业协会科技学术节活动，组织得当。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系学生会推动大学生创新创业训练计划、挑战杯、攀登计划的立项申报，组织动员大会或培训会议。——列举立项数和获奖数。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15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加分项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系学生会主办、承办、协办区级及以上科技学术竞赛活动。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16</w:t>
            </w:r>
          </w:p>
        </w:tc>
        <w:tc>
          <w:tcPr>
            <w:tcW w:w="12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校园文化建设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（18分）</w:t>
            </w: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文、体、艺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活动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积极举办校园文化艺术节活动，有特色，成效好，积极引导同学参与各类校园文化活动。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——列举活动数据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2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17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大力开展三走活动，组织举办体育赛事，引导同学参加体育健身月活动。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——列举活动数据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18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系学生会学生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lang w:val="en-US" w:eastAsia="zh-CN"/>
              </w:rPr>
              <w:t>骨干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参加校外文体比赛并获得相关奖项。（区级以上）——列举成绩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19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加分项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主办、承办、协办区级以上文体比赛活动。——列举活动数据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88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宣传阵地建设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（8分）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网络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阵地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系学生会建立线上宣传制度，严格审核内容发布，责任到人。新媒体平台运作情况良好，具有特色，已建立公众号、视频号并运营。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21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校园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阵地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线下宣传栏运作良好，能够服从统一部署，按时推出宣传专题。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22</w:t>
            </w:r>
          </w:p>
        </w:tc>
        <w:tc>
          <w:tcPr>
            <w:tcW w:w="12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学生服务和权益维护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ascii="仿宋" w:hAnsi="仿宋" w:eastAsia="仿宋" w:cs="仿宋"/>
                <w:sz w:val="28"/>
                <w:szCs w:val="28"/>
              </w:rPr>
              <w:t>30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分）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倾听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学生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建立系学生会联系班级的机制，打通学生意见反馈的线上线下双渠道。专项专组，专人对接，学生意见能够反馈给学校相关部门和老师，形成处理台账——核查渠道和收集的意见。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23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关爱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学生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开展了围绕学生思想、心理、兴趣、生活等方面的关怀活动。——列举做法和成效。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24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服务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学生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着力解决学生校园生活的各种难题，围绕学生的学习环境、吃饭购物、校园消费、居住环境、运动场所、校园服务等方面开展“办实事”专项活动。——列举做法和成效。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25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权益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维护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定期宣传学生权益维护相关知识，开展学生权益维护专项行动，使学生权益得到有效保护。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26</w:t>
            </w:r>
          </w:p>
        </w:tc>
        <w:tc>
          <w:tcPr>
            <w:tcW w:w="12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加分项</w:t>
            </w: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开展“秘秘计划”，两名学生会秘书长对两个学生会进行联合指导，资源共享，推动开展学生服务和权益维护的精品项目。——项目须是校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lang w:val="en-US" w:eastAsia="zh-CN"/>
              </w:rPr>
              <w:t>团委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报备批准开展的活动。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  <w:r>
              <w:rPr>
                <w:rFonts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1255" w:type="dxa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left"/>
              <w:rPr>
                <w:rFonts w:hint="default" w:ascii="仿宋" w:hAnsi="仿宋" w:eastAsia="仿宋" w:cs="仿宋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积极开展“我为同学办实事”精品项目获得校级及以上立项或获奖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lang w:val="en-US" w:eastAsia="zh-CN"/>
              </w:rPr>
              <w:t>省级5分，校级4分）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tblHeader/>
          <w:jc w:val="center"/>
        </w:trPr>
        <w:tc>
          <w:tcPr>
            <w:tcW w:w="8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总分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sz w:val="28"/>
                <w:szCs w:val="28"/>
              </w:rPr>
              <w:t>09</w:t>
            </w:r>
          </w:p>
        </w:tc>
        <w:tc>
          <w:tcPr>
            <w:tcW w:w="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pacing w:line="6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1、系学生会根据考核细则填写自评分。</w:t>
      </w:r>
    </w:p>
    <w:p>
      <w:pPr>
        <w:spacing w:line="6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2、学校学生会、各系学生会评审团根据书面评选材料核实评估后填写考评分。</w:t>
      </w:r>
    </w:p>
    <w:p>
      <w:pPr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3、此表统计结束后留学校团委留档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bookmarkStart w:id="1" w:name="_GoBack"/>
      <w:bookmarkEnd w:id="1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3ODgxNTJhMDc2MWU1MmRlZmZkODcwZGVkY2Q1ZDgifQ=="/>
  </w:docVars>
  <w:rsids>
    <w:rsidRoot w:val="099D40F9"/>
    <w:rsid w:val="099D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2023-03-23T01:39:00Z</dcterms:created>
  <dc:creator>He</dc:creator>
  <cp:lastModifiedBy>He</cp:lastModifiedBy>
  <dcterms:modified xsi:type="dcterms:W3CDTF">2023-03-23T01:40:06Z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1CCCBA700FB84AD89E87C06977856080_11</vt:lpwstr>
  </property>
</Properties>
</file>